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855" w:right="-720" w:firstLine="0"/>
        <w:jc w:val="center"/>
        <w:rPr>
          <w:rFonts w:ascii="微软雅黑" w:hAnsi="微软雅黑" w:eastAsia="微软雅黑" w:cs="微软雅黑"/>
          <w:i w:val="0"/>
          <w:iCs w:val="0"/>
          <w:caps w:val="0"/>
          <w:color w:val="333333"/>
          <w:spacing w:val="0"/>
          <w:sz w:val="24"/>
          <w:szCs w:val="24"/>
        </w:rPr>
      </w:pPr>
      <w:bookmarkStart w:id="0" w:name="_GoBack"/>
      <w:r>
        <w:rPr>
          <w:rFonts w:hint="eastAsia" w:ascii="宋体" w:hAnsi="宋体" w:eastAsia="宋体" w:cs="宋体"/>
          <w:i w:val="0"/>
          <w:iCs w:val="0"/>
          <w:caps w:val="0"/>
          <w:color w:val="333333"/>
          <w:spacing w:val="0"/>
          <w:sz w:val="24"/>
          <w:szCs w:val="24"/>
          <w:bdr w:val="none" w:color="auto" w:sz="0" w:space="0"/>
          <w:shd w:val="clear" w:fill="FFFFFF"/>
        </w:rPr>
        <w:t>广西壮族自治区人力资源社会保障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855" w:right="-720" w:firstLine="0"/>
        <w:jc w:val="center"/>
        <w:rPr>
          <w:rFonts w:hint="eastAsia" w:ascii="微软雅黑" w:hAnsi="微软雅黑" w:eastAsia="微软雅黑" w:cs="微软雅黑"/>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《保障农民工工资支付条例》第五十四条</w:t>
      </w:r>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855" w:right="-720" w:firstLine="0"/>
        <w:jc w:val="center"/>
        <w:rPr>
          <w:rFonts w:hint="eastAsia" w:ascii="微软雅黑" w:hAnsi="微软雅黑" w:eastAsia="微软雅黑" w:cs="微软雅黑"/>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行政裁量权基准</w:t>
      </w:r>
    </w:p>
    <w:tbl>
      <w:tblPr>
        <w:tblW w:w="1029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629"/>
        <w:gridCol w:w="1363"/>
        <w:gridCol w:w="2127"/>
        <w:gridCol w:w="2067"/>
        <w:gridCol w:w="1273"/>
        <w:gridCol w:w="2126"/>
        <w:gridCol w:w="7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blHeader/>
          <w:jc w:val="center"/>
        </w:trPr>
        <w:tc>
          <w:tcPr>
            <w:tcW w:w="630" w:type="dxa"/>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255" w:right="0" w:firstLine="255"/>
              <w:jc w:val="center"/>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pacing w:val="-15"/>
                <w:sz w:val="24"/>
                <w:szCs w:val="24"/>
                <w:bdr w:val="none" w:color="auto" w:sz="0" w:space="0"/>
              </w:rPr>
              <w:t>序号</w:t>
            </w:r>
          </w:p>
        </w:tc>
        <w:tc>
          <w:tcPr>
            <w:tcW w:w="1365" w:type="dxa"/>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z w:val="24"/>
                <w:szCs w:val="24"/>
                <w:bdr w:val="none" w:color="auto" w:sz="0" w:space="0"/>
              </w:rPr>
              <w:t>事项名称</w:t>
            </w:r>
          </w:p>
        </w:tc>
        <w:tc>
          <w:tcPr>
            <w:tcW w:w="2130" w:type="dxa"/>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z w:val="24"/>
                <w:szCs w:val="24"/>
                <w:bdr w:val="none" w:color="auto" w:sz="0" w:space="0"/>
              </w:rPr>
              <w:t>设立依据</w:t>
            </w:r>
          </w:p>
        </w:tc>
        <w:tc>
          <w:tcPr>
            <w:tcW w:w="2070" w:type="dxa"/>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z w:val="24"/>
                <w:szCs w:val="24"/>
                <w:bdr w:val="none" w:color="auto" w:sz="0" w:space="0"/>
              </w:rPr>
              <w:t>法律、法规、规章、规范性文件规定的裁量情形、幅度</w:t>
            </w:r>
          </w:p>
        </w:tc>
        <w:tc>
          <w:tcPr>
            <w:tcW w:w="3405" w:type="dxa"/>
            <w:gridSpan w:val="2"/>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z w:val="24"/>
                <w:szCs w:val="24"/>
                <w:bdr w:val="none" w:color="auto" w:sz="0" w:space="0"/>
              </w:rPr>
              <w:t>细化、量化行政裁量权基准</w:t>
            </w:r>
          </w:p>
        </w:tc>
        <w:tc>
          <w:tcPr>
            <w:tcW w:w="705" w:type="dxa"/>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pacing w:val="-15"/>
                <w:sz w:val="24"/>
                <w:szCs w:val="24"/>
                <w:bdr w:val="none" w:color="auto" w:sz="0" w:space="0"/>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81" w:hRule="atLeast"/>
          <w:jc w:val="center"/>
        </w:trPr>
        <w:tc>
          <w:tcPr>
            <w:tcW w:w="630" w:type="dxa"/>
            <w:vMerge w:val="restart"/>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z w:val="24"/>
                <w:szCs w:val="24"/>
                <w:bdr w:val="none" w:color="auto" w:sz="0" w:space="0"/>
              </w:rPr>
              <w:t>1</w:t>
            </w:r>
          </w:p>
        </w:tc>
        <w:tc>
          <w:tcPr>
            <w:tcW w:w="1365" w:type="dxa"/>
            <w:vMerge w:val="restart"/>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165" w:right="0" w:firstLine="480"/>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z w:val="24"/>
                <w:szCs w:val="24"/>
                <w:bdr w:val="none" w:color="auto" w:sz="0" w:space="0"/>
              </w:rPr>
              <w:t>对单位以实物、有价证券等形式代替货币支付农民工工资的处罚</w:t>
            </w:r>
          </w:p>
        </w:tc>
        <w:tc>
          <w:tcPr>
            <w:tcW w:w="2130" w:type="dxa"/>
            <w:vMerge w:val="restart"/>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80"/>
              <w:jc w:val="left"/>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z w:val="24"/>
                <w:szCs w:val="24"/>
                <w:bdr w:val="none" w:color="auto" w:sz="0" w:space="0"/>
              </w:rPr>
              <w:t>《保障农民工工资支付条例》第五十四条：“有下列情形之一的，由人力资源社会保障行政部门责令限期改正；逾期不改正的，对单位处2万元以上5万元以下的罚款，对法定代表人或者主要负责人、直接负责的主管人员和其他直接责任人员处1万元以上3万元以下的罚款：（一）以实物、有价证券等形式代替货币支付农民工工资；（二）未编制工资支付台账并依法保存，或者未向农民工提供工资清单；　（三）扣押或者变相扣押用于支付农民工工资的银行账户所绑定的农民工本人社会保障卡或者银行卡。”</w:t>
            </w:r>
          </w:p>
        </w:tc>
        <w:tc>
          <w:tcPr>
            <w:tcW w:w="2070" w:type="dxa"/>
            <w:vMerge w:val="restart"/>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80"/>
              <w:jc w:val="left"/>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z w:val="24"/>
                <w:szCs w:val="24"/>
                <w:bdr w:val="none" w:color="auto" w:sz="0" w:space="0"/>
              </w:rPr>
              <w:t>《保障农民工工资支付条例》第五十四条：有下列情形之一的，由人力资源社会保障行政部门责令限期改正；逾期不改正的，对单位处2万元以上5万元以下的罚款，对法定代表人或者主要负责人、直接负责的主管人员和其他直接责任人员处1万元以上3万元以下的罚款……</w:t>
            </w:r>
          </w:p>
        </w:tc>
        <w:tc>
          <w:tcPr>
            <w:tcW w:w="1275" w:type="dxa"/>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z w:val="24"/>
                <w:szCs w:val="24"/>
                <w:bdr w:val="none" w:color="auto" w:sz="0" w:space="0"/>
              </w:rPr>
              <w:t>涉及1-5名劳动者的</w:t>
            </w:r>
          </w:p>
        </w:tc>
        <w:tc>
          <w:tcPr>
            <w:tcW w:w="2130" w:type="dxa"/>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z w:val="24"/>
                <w:szCs w:val="24"/>
                <w:bdr w:val="none" w:color="auto" w:sz="0" w:space="0"/>
              </w:rPr>
              <w:t>处单位以2-3万元罚款,处个人1-1.7万元罚款</w:t>
            </w:r>
          </w:p>
        </w:tc>
        <w:tc>
          <w:tcPr>
            <w:tcW w:w="705" w:type="dxa"/>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81" w:hRule="atLeast"/>
          <w:jc w:val="center"/>
        </w:trPr>
        <w:tc>
          <w:tcPr>
            <w:tcW w:w="630" w:type="dxa"/>
            <w:vMerge w:val="continue"/>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rPr>
                <w:rFonts w:hint="eastAsia" w:ascii="宋体"/>
                <w:sz w:val="24"/>
                <w:szCs w:val="24"/>
              </w:rPr>
            </w:pPr>
          </w:p>
        </w:tc>
        <w:tc>
          <w:tcPr>
            <w:tcW w:w="1365" w:type="dxa"/>
            <w:vMerge w:val="continue"/>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rPr>
                <w:rFonts w:hint="eastAsia" w:ascii="宋体"/>
                <w:sz w:val="24"/>
                <w:szCs w:val="24"/>
              </w:rPr>
            </w:pPr>
          </w:p>
        </w:tc>
        <w:tc>
          <w:tcPr>
            <w:tcW w:w="2130" w:type="dxa"/>
            <w:vMerge w:val="continue"/>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rPr>
                <w:rFonts w:hint="eastAsia" w:ascii="宋体"/>
                <w:sz w:val="24"/>
                <w:szCs w:val="24"/>
              </w:rPr>
            </w:pPr>
          </w:p>
        </w:tc>
        <w:tc>
          <w:tcPr>
            <w:tcW w:w="2070" w:type="dxa"/>
            <w:vMerge w:val="continue"/>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rPr>
                <w:rFonts w:hint="eastAsia" w:ascii="宋体"/>
                <w:sz w:val="24"/>
                <w:szCs w:val="24"/>
              </w:rPr>
            </w:pPr>
          </w:p>
        </w:tc>
        <w:tc>
          <w:tcPr>
            <w:tcW w:w="1275" w:type="dxa"/>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z w:val="24"/>
                <w:szCs w:val="24"/>
                <w:bdr w:val="none" w:color="auto" w:sz="0" w:space="0"/>
              </w:rPr>
              <w:t>涉及6-10名劳动者的</w:t>
            </w:r>
          </w:p>
        </w:tc>
        <w:tc>
          <w:tcPr>
            <w:tcW w:w="2130" w:type="dxa"/>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z w:val="24"/>
                <w:szCs w:val="24"/>
                <w:bdr w:val="none" w:color="auto" w:sz="0" w:space="0"/>
              </w:rPr>
              <w:t>处单位以3-4万元罚款,处个人1.7-2.4万元罚款</w:t>
            </w:r>
          </w:p>
        </w:tc>
        <w:tc>
          <w:tcPr>
            <w:tcW w:w="705" w:type="dxa"/>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81" w:hRule="atLeast"/>
          <w:jc w:val="center"/>
        </w:trPr>
        <w:tc>
          <w:tcPr>
            <w:tcW w:w="630" w:type="dxa"/>
            <w:vMerge w:val="continue"/>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rPr>
                <w:rFonts w:hint="eastAsia" w:ascii="宋体"/>
                <w:sz w:val="24"/>
                <w:szCs w:val="24"/>
              </w:rPr>
            </w:pPr>
          </w:p>
        </w:tc>
        <w:tc>
          <w:tcPr>
            <w:tcW w:w="1365" w:type="dxa"/>
            <w:vMerge w:val="continue"/>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rPr>
                <w:rFonts w:hint="eastAsia" w:ascii="宋体"/>
                <w:sz w:val="24"/>
                <w:szCs w:val="24"/>
              </w:rPr>
            </w:pPr>
          </w:p>
        </w:tc>
        <w:tc>
          <w:tcPr>
            <w:tcW w:w="2130" w:type="dxa"/>
            <w:vMerge w:val="continue"/>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rPr>
                <w:rFonts w:hint="eastAsia" w:ascii="宋体"/>
                <w:sz w:val="24"/>
                <w:szCs w:val="24"/>
              </w:rPr>
            </w:pPr>
          </w:p>
        </w:tc>
        <w:tc>
          <w:tcPr>
            <w:tcW w:w="2070" w:type="dxa"/>
            <w:vMerge w:val="continue"/>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rPr>
                <w:rFonts w:hint="eastAsia" w:ascii="宋体"/>
                <w:sz w:val="24"/>
                <w:szCs w:val="24"/>
              </w:rPr>
            </w:pPr>
          </w:p>
        </w:tc>
        <w:tc>
          <w:tcPr>
            <w:tcW w:w="1275" w:type="dxa"/>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z w:val="24"/>
                <w:szCs w:val="24"/>
                <w:bdr w:val="none" w:color="auto" w:sz="0" w:space="0"/>
              </w:rPr>
              <w:t>涉及11名以上劳动者的</w:t>
            </w:r>
          </w:p>
        </w:tc>
        <w:tc>
          <w:tcPr>
            <w:tcW w:w="2130" w:type="dxa"/>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z w:val="24"/>
                <w:szCs w:val="24"/>
                <w:bdr w:val="none" w:color="auto" w:sz="0" w:space="0"/>
              </w:rPr>
              <w:t>处单位以4-5万元罚款,处个人2.4-3万元罚款</w:t>
            </w:r>
          </w:p>
        </w:tc>
        <w:tc>
          <w:tcPr>
            <w:tcW w:w="705" w:type="dxa"/>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51" w:hRule="atLeast"/>
          <w:jc w:val="center"/>
        </w:trPr>
        <w:tc>
          <w:tcPr>
            <w:tcW w:w="630" w:type="dxa"/>
            <w:vMerge w:val="restart"/>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z w:val="24"/>
                <w:szCs w:val="24"/>
                <w:bdr w:val="none" w:color="auto" w:sz="0" w:space="0"/>
              </w:rPr>
              <w:t>2</w:t>
            </w:r>
          </w:p>
        </w:tc>
        <w:tc>
          <w:tcPr>
            <w:tcW w:w="1365" w:type="dxa"/>
            <w:vMerge w:val="restart"/>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80"/>
              <w:jc w:val="left"/>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z w:val="24"/>
                <w:szCs w:val="24"/>
                <w:bdr w:val="none" w:color="auto" w:sz="0" w:space="0"/>
              </w:rPr>
              <w:t>对单位未编制工资支付台账并依法保存，或者未向农民工提供工资清单的处罚</w:t>
            </w:r>
          </w:p>
        </w:tc>
        <w:tc>
          <w:tcPr>
            <w:tcW w:w="2130" w:type="dxa"/>
            <w:vMerge w:val="restart"/>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z w:val="24"/>
                <w:szCs w:val="24"/>
                <w:bdr w:val="none" w:color="auto" w:sz="0" w:space="0"/>
              </w:rPr>
              <w:t>    《保障农民工工资支付条例》第五十四条：“有下列情形之一的，由人力资源社会保障行政部门责令限期改正；逾期不改正的，对单位处2万元以上5万元以下的罚款，对法定代表人或者主要负责人、直接负责的主管人员和其他直接责任人员处1万元以上3万元以下的罚款：（一）以实物、有价证券等形式代替货币支付农民工工资；（二）未编制工资支付台账并依法保存，或者未向农民工提供工资清单；　（三）扣押或者变相扣押用于支付农民工工资的银行账户所绑定的农民工本人社会保障卡或者银行卡。”</w:t>
            </w:r>
          </w:p>
        </w:tc>
        <w:tc>
          <w:tcPr>
            <w:tcW w:w="2070" w:type="dxa"/>
            <w:vMerge w:val="restart"/>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z w:val="24"/>
                <w:szCs w:val="24"/>
                <w:bdr w:val="none" w:color="auto" w:sz="0" w:space="0"/>
              </w:rPr>
              <w:t>    《保障农民工工资支付条例》第五十四条：有下列情形之一的，由人力资源社会保障行政部门责令限期改正；逾期不改正的，对单位处2万元以上5万元以下的罚款，对法定代表人或者主要负责人、直接负责的主管人员和其他直接责任人员处1万元以上3万元以下的罚款……</w:t>
            </w:r>
          </w:p>
        </w:tc>
        <w:tc>
          <w:tcPr>
            <w:tcW w:w="1275" w:type="dxa"/>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z w:val="24"/>
                <w:szCs w:val="24"/>
                <w:bdr w:val="none" w:color="auto" w:sz="0" w:space="0"/>
              </w:rPr>
              <w:t>涉及1-5名劳动者的</w:t>
            </w:r>
          </w:p>
        </w:tc>
        <w:tc>
          <w:tcPr>
            <w:tcW w:w="2130" w:type="dxa"/>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z w:val="24"/>
                <w:szCs w:val="24"/>
                <w:bdr w:val="none" w:color="auto" w:sz="0" w:space="0"/>
              </w:rPr>
              <w:t>处单位以2-3万元罚款,处个人1-1.7万元罚款</w:t>
            </w:r>
          </w:p>
        </w:tc>
        <w:tc>
          <w:tcPr>
            <w:tcW w:w="705" w:type="dxa"/>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51" w:hRule="atLeast"/>
          <w:jc w:val="center"/>
        </w:trPr>
        <w:tc>
          <w:tcPr>
            <w:tcW w:w="630" w:type="dxa"/>
            <w:vMerge w:val="continue"/>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rPr>
                <w:rFonts w:hint="eastAsia" w:ascii="宋体"/>
                <w:sz w:val="24"/>
                <w:szCs w:val="24"/>
              </w:rPr>
            </w:pPr>
          </w:p>
        </w:tc>
        <w:tc>
          <w:tcPr>
            <w:tcW w:w="1365" w:type="dxa"/>
            <w:vMerge w:val="continue"/>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rPr>
                <w:rFonts w:hint="eastAsia" w:ascii="宋体"/>
                <w:sz w:val="24"/>
                <w:szCs w:val="24"/>
              </w:rPr>
            </w:pPr>
          </w:p>
        </w:tc>
        <w:tc>
          <w:tcPr>
            <w:tcW w:w="2130" w:type="dxa"/>
            <w:vMerge w:val="continue"/>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rPr>
                <w:rFonts w:hint="eastAsia" w:ascii="宋体"/>
                <w:sz w:val="24"/>
                <w:szCs w:val="24"/>
              </w:rPr>
            </w:pPr>
          </w:p>
        </w:tc>
        <w:tc>
          <w:tcPr>
            <w:tcW w:w="2070" w:type="dxa"/>
            <w:vMerge w:val="continue"/>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rPr>
                <w:rFonts w:hint="eastAsia" w:ascii="宋体"/>
                <w:sz w:val="24"/>
                <w:szCs w:val="24"/>
              </w:rPr>
            </w:pPr>
          </w:p>
        </w:tc>
        <w:tc>
          <w:tcPr>
            <w:tcW w:w="1275" w:type="dxa"/>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z w:val="24"/>
                <w:szCs w:val="24"/>
                <w:bdr w:val="none" w:color="auto" w:sz="0" w:space="0"/>
              </w:rPr>
              <w:t>涉及6-10名劳动者的</w:t>
            </w:r>
          </w:p>
        </w:tc>
        <w:tc>
          <w:tcPr>
            <w:tcW w:w="2130" w:type="dxa"/>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z w:val="24"/>
                <w:szCs w:val="24"/>
                <w:bdr w:val="none" w:color="auto" w:sz="0" w:space="0"/>
              </w:rPr>
              <w:t>处单位以3-4万元罚款,处个人1.7-2.4万元罚款</w:t>
            </w:r>
          </w:p>
        </w:tc>
        <w:tc>
          <w:tcPr>
            <w:tcW w:w="705" w:type="dxa"/>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51" w:hRule="atLeast"/>
          <w:jc w:val="center"/>
        </w:trPr>
        <w:tc>
          <w:tcPr>
            <w:tcW w:w="630" w:type="dxa"/>
            <w:vMerge w:val="continue"/>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rPr>
                <w:rFonts w:hint="eastAsia" w:ascii="宋体"/>
                <w:sz w:val="24"/>
                <w:szCs w:val="24"/>
              </w:rPr>
            </w:pPr>
          </w:p>
        </w:tc>
        <w:tc>
          <w:tcPr>
            <w:tcW w:w="1365" w:type="dxa"/>
            <w:vMerge w:val="continue"/>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rPr>
                <w:rFonts w:hint="eastAsia" w:ascii="宋体"/>
                <w:sz w:val="24"/>
                <w:szCs w:val="24"/>
              </w:rPr>
            </w:pPr>
          </w:p>
        </w:tc>
        <w:tc>
          <w:tcPr>
            <w:tcW w:w="2130" w:type="dxa"/>
            <w:vMerge w:val="continue"/>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rPr>
                <w:rFonts w:hint="eastAsia" w:ascii="宋体"/>
                <w:sz w:val="24"/>
                <w:szCs w:val="24"/>
              </w:rPr>
            </w:pPr>
          </w:p>
        </w:tc>
        <w:tc>
          <w:tcPr>
            <w:tcW w:w="2070" w:type="dxa"/>
            <w:vMerge w:val="continue"/>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rPr>
                <w:rFonts w:hint="eastAsia" w:ascii="宋体"/>
                <w:sz w:val="24"/>
                <w:szCs w:val="24"/>
              </w:rPr>
            </w:pPr>
          </w:p>
        </w:tc>
        <w:tc>
          <w:tcPr>
            <w:tcW w:w="1275" w:type="dxa"/>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z w:val="24"/>
                <w:szCs w:val="24"/>
                <w:bdr w:val="none" w:color="auto" w:sz="0" w:space="0"/>
              </w:rPr>
              <w:t>涉及11名以上劳动者的</w:t>
            </w:r>
          </w:p>
        </w:tc>
        <w:tc>
          <w:tcPr>
            <w:tcW w:w="2130" w:type="dxa"/>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z w:val="24"/>
                <w:szCs w:val="24"/>
                <w:bdr w:val="none" w:color="auto" w:sz="0" w:space="0"/>
              </w:rPr>
              <w:t>处单位以4-5万元罚款,处个人2.4-3万元罚款</w:t>
            </w:r>
          </w:p>
        </w:tc>
        <w:tc>
          <w:tcPr>
            <w:tcW w:w="705" w:type="dxa"/>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36" w:hRule="atLeast"/>
          <w:jc w:val="center"/>
        </w:trPr>
        <w:tc>
          <w:tcPr>
            <w:tcW w:w="630" w:type="dxa"/>
            <w:vMerge w:val="restart"/>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z w:val="24"/>
                <w:szCs w:val="24"/>
                <w:bdr w:val="none" w:color="auto" w:sz="0" w:space="0"/>
              </w:rPr>
              <w:t>3</w:t>
            </w:r>
          </w:p>
        </w:tc>
        <w:tc>
          <w:tcPr>
            <w:tcW w:w="1365" w:type="dxa"/>
            <w:vMerge w:val="restart"/>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80"/>
              <w:jc w:val="left"/>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z w:val="24"/>
                <w:szCs w:val="24"/>
                <w:bdr w:val="none" w:color="auto" w:sz="0" w:space="0"/>
              </w:rPr>
              <w:t>对单位扣押或者变相扣押用于支付农民工工资的银行账户所绑定的农民工本人社会保障卡或者银行卡的处罚</w:t>
            </w:r>
          </w:p>
        </w:tc>
        <w:tc>
          <w:tcPr>
            <w:tcW w:w="2130" w:type="dxa"/>
            <w:vMerge w:val="restart"/>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z w:val="24"/>
                <w:szCs w:val="24"/>
                <w:bdr w:val="none" w:color="auto" w:sz="0" w:space="0"/>
              </w:rPr>
              <w:t>    《保障农民工工资支付条例》第五十四条：“有下列情形之一的，由人力资源社会保障行政部门责令限期改正；逾期不改正的，对单位处2万元以上5万元以下的罚款，对法定代表人或者主要负责人、直接负责的主管人员和其他直接责任人员处1万元以上3万元以下的罚款：（一）以实物、有价证券等形式代替货币支付农民工工资；（二）未编制工资支付台账并依法保存，或者未向农民工提供工资清单；　（三）扣押或者变相扣押用于支付农民工工资的银行账户所绑定的农民工本人社会保障卡或者银行卡。”</w:t>
            </w:r>
          </w:p>
        </w:tc>
        <w:tc>
          <w:tcPr>
            <w:tcW w:w="2070" w:type="dxa"/>
            <w:vMerge w:val="restart"/>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z w:val="24"/>
                <w:szCs w:val="24"/>
                <w:bdr w:val="none" w:color="auto" w:sz="0" w:space="0"/>
              </w:rPr>
              <w:t>    《保障农民工工资支付条例》第五十四条：有下列情形之一的，由人力资源社会保障行政部门责令限期改正；逾期不改正的，对单位处2万元以上5万元以下的罚款，对法定代表人或者主要负责人、直接负责的主管人员和其他直接责任人员处1万元以上3万元以下的罚款……</w:t>
            </w:r>
          </w:p>
        </w:tc>
        <w:tc>
          <w:tcPr>
            <w:tcW w:w="1275" w:type="dxa"/>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z w:val="24"/>
                <w:szCs w:val="24"/>
                <w:bdr w:val="none" w:color="auto" w:sz="0" w:space="0"/>
              </w:rPr>
              <w:t>涉及1-5名劳动者的</w:t>
            </w:r>
          </w:p>
        </w:tc>
        <w:tc>
          <w:tcPr>
            <w:tcW w:w="2130" w:type="dxa"/>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z w:val="24"/>
                <w:szCs w:val="24"/>
                <w:bdr w:val="none" w:color="auto" w:sz="0" w:space="0"/>
              </w:rPr>
              <w:t>处单位以2-3万元罚款,处个人1-1.7万元罚款</w:t>
            </w:r>
          </w:p>
        </w:tc>
        <w:tc>
          <w:tcPr>
            <w:tcW w:w="705" w:type="dxa"/>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36" w:hRule="atLeast"/>
          <w:jc w:val="center"/>
        </w:trPr>
        <w:tc>
          <w:tcPr>
            <w:tcW w:w="630" w:type="dxa"/>
            <w:vMerge w:val="continue"/>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rPr>
                <w:rFonts w:hint="eastAsia" w:ascii="宋体"/>
                <w:sz w:val="24"/>
                <w:szCs w:val="24"/>
              </w:rPr>
            </w:pPr>
          </w:p>
        </w:tc>
        <w:tc>
          <w:tcPr>
            <w:tcW w:w="1365" w:type="dxa"/>
            <w:vMerge w:val="continue"/>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rPr>
                <w:rFonts w:hint="eastAsia" w:ascii="宋体"/>
                <w:sz w:val="24"/>
                <w:szCs w:val="24"/>
              </w:rPr>
            </w:pPr>
          </w:p>
        </w:tc>
        <w:tc>
          <w:tcPr>
            <w:tcW w:w="2130" w:type="dxa"/>
            <w:vMerge w:val="continue"/>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rPr>
                <w:rFonts w:hint="eastAsia" w:ascii="宋体"/>
                <w:sz w:val="24"/>
                <w:szCs w:val="24"/>
              </w:rPr>
            </w:pPr>
          </w:p>
        </w:tc>
        <w:tc>
          <w:tcPr>
            <w:tcW w:w="2070" w:type="dxa"/>
            <w:vMerge w:val="continue"/>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rPr>
                <w:rFonts w:hint="eastAsia" w:ascii="宋体"/>
                <w:sz w:val="24"/>
                <w:szCs w:val="24"/>
              </w:rPr>
            </w:pPr>
          </w:p>
        </w:tc>
        <w:tc>
          <w:tcPr>
            <w:tcW w:w="1275" w:type="dxa"/>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z w:val="24"/>
                <w:szCs w:val="24"/>
                <w:bdr w:val="none" w:color="auto" w:sz="0" w:space="0"/>
              </w:rPr>
              <w:t>涉及6-10名劳动者的</w:t>
            </w:r>
          </w:p>
        </w:tc>
        <w:tc>
          <w:tcPr>
            <w:tcW w:w="2130" w:type="dxa"/>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z w:val="24"/>
                <w:szCs w:val="24"/>
                <w:bdr w:val="none" w:color="auto" w:sz="0" w:space="0"/>
              </w:rPr>
              <w:t>处单位以3-4万元罚款,处个人1.7-2.4万元罚款</w:t>
            </w:r>
          </w:p>
        </w:tc>
        <w:tc>
          <w:tcPr>
            <w:tcW w:w="705" w:type="dxa"/>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36" w:hRule="atLeast"/>
          <w:jc w:val="center"/>
        </w:trPr>
        <w:tc>
          <w:tcPr>
            <w:tcW w:w="630" w:type="dxa"/>
            <w:vMerge w:val="continue"/>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rPr>
                <w:rFonts w:hint="eastAsia" w:ascii="宋体"/>
                <w:sz w:val="24"/>
                <w:szCs w:val="24"/>
              </w:rPr>
            </w:pPr>
          </w:p>
        </w:tc>
        <w:tc>
          <w:tcPr>
            <w:tcW w:w="1365" w:type="dxa"/>
            <w:vMerge w:val="continue"/>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rPr>
                <w:rFonts w:hint="eastAsia" w:ascii="宋体"/>
                <w:sz w:val="24"/>
                <w:szCs w:val="24"/>
              </w:rPr>
            </w:pPr>
          </w:p>
        </w:tc>
        <w:tc>
          <w:tcPr>
            <w:tcW w:w="2130" w:type="dxa"/>
            <w:vMerge w:val="continue"/>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rPr>
                <w:rFonts w:hint="eastAsia" w:ascii="宋体"/>
                <w:sz w:val="24"/>
                <w:szCs w:val="24"/>
              </w:rPr>
            </w:pPr>
          </w:p>
        </w:tc>
        <w:tc>
          <w:tcPr>
            <w:tcW w:w="2070" w:type="dxa"/>
            <w:vMerge w:val="continue"/>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rPr>
                <w:rFonts w:hint="eastAsia" w:ascii="宋体"/>
                <w:sz w:val="24"/>
                <w:szCs w:val="24"/>
              </w:rPr>
            </w:pPr>
          </w:p>
        </w:tc>
        <w:tc>
          <w:tcPr>
            <w:tcW w:w="1275" w:type="dxa"/>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z w:val="24"/>
                <w:szCs w:val="24"/>
                <w:bdr w:val="none" w:color="auto" w:sz="0" w:space="0"/>
              </w:rPr>
              <w:t>涉及11名以上劳动者的</w:t>
            </w:r>
          </w:p>
        </w:tc>
        <w:tc>
          <w:tcPr>
            <w:tcW w:w="2130" w:type="dxa"/>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微软雅黑" w:hAnsi="微软雅黑" w:eastAsia="微软雅黑" w:cs="微软雅黑"/>
                <w:b w:val="0"/>
                <w:bCs w:val="0"/>
                <w:sz w:val="24"/>
                <w:szCs w:val="24"/>
              </w:rPr>
            </w:pPr>
            <w:r>
              <w:rPr>
                <w:rFonts w:hint="eastAsia" w:ascii="宋体" w:hAnsi="宋体" w:eastAsia="宋体" w:cs="宋体"/>
                <w:b w:val="0"/>
                <w:bCs w:val="0"/>
                <w:color w:val="000000"/>
                <w:sz w:val="24"/>
                <w:szCs w:val="24"/>
                <w:bdr w:val="none" w:color="auto" w:sz="0" w:space="0"/>
              </w:rPr>
              <w:t>处单位以4-5万元罚款,处个人2.4-3万元罚款</w:t>
            </w:r>
          </w:p>
        </w:tc>
        <w:tc>
          <w:tcPr>
            <w:tcW w:w="705" w:type="dxa"/>
            <w:tcBorders>
              <w:top w:val="single" w:color="auto" w:sz="6" w:space="0"/>
              <w:left w:val="single" w:color="auto" w:sz="6" w:space="0"/>
              <w:bottom w:val="single" w:color="auto" w:sz="6" w:space="0"/>
              <w:right w:val="single" w:color="auto" w:sz="6" w:space="0"/>
            </w:tcBorders>
            <w:shd w:val="clear"/>
            <w:tcMar>
              <w:left w:w="105" w:type="dxa"/>
              <w:right w:w="105" w:type="dxa"/>
            </w:tcMar>
            <w:vAlign w:val="center"/>
          </w:tcPr>
          <w:p>
            <w:pPr>
              <w:keepNext w:val="0"/>
              <w:keepLines w:val="0"/>
              <w:widowControl/>
              <w:suppressLineNumbers w:val="0"/>
              <w:spacing w:before="0" w:beforeAutospacing="0" w:after="0" w:afterAutospacing="0"/>
              <w:ind w:left="0" w:right="0"/>
              <w:jc w:val="left"/>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5AC463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lm</dc:creator>
  <cp:lastModifiedBy>lm</cp:lastModifiedBy>
  <dcterms:modified xsi:type="dcterms:W3CDTF">2021-10-20T09:19:24Z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5C347A417D9443A190318806D805A645</vt:lpwstr>
  </property>
</Properties>
</file>