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10"/>
        <w:keepNext w:val="0"/>
        <w:keepLines w:val="0"/>
        <w:pageBreakBefore w:val="0"/>
        <w:widowControl w:val="0"/>
        <w:kinsoku/>
        <w:wordWrap/>
        <w:overflowPunct/>
        <w:topLinePunct w:val="0"/>
        <w:autoSpaceDE/>
        <w:autoSpaceDN/>
        <w:bidi w:val="0"/>
        <w:adjustRightInd w:val="0"/>
        <w:snapToGrid w:val="0"/>
        <w:spacing w:after="0" w:line="560" w:lineRule="exact"/>
        <w:ind w:left="0" w:leftChars="0" w:right="0" w:rightChars="0" w:firstLine="0" w:firstLineChars="0"/>
        <w:jc w:val="center"/>
        <w:textAlignment w:val="auto"/>
        <w:outlineLvl w:val="9"/>
        <w:rPr>
          <w:rFonts w:ascii="?????_GBK" w:eastAsia="Times New Roman"/>
          <w:color w:val="000000"/>
          <w:sz w:val="44"/>
          <w:szCs w:val="44"/>
        </w:rPr>
      </w:pPr>
    </w:p>
    <w:p>
      <w:pPr>
        <w:keepNext w:val="0"/>
        <w:keepLines w:val="0"/>
        <w:pageBreakBefore w:val="0"/>
        <w:kinsoku/>
        <w:wordWrap/>
        <w:overflowPunct/>
        <w:topLinePunct w:val="0"/>
        <w:autoSpaceDE/>
        <w:autoSpaceDN/>
        <w:bidi w:val="0"/>
        <w:adjustRightInd w:val="0"/>
        <w:snapToGrid w:val="0"/>
        <w:spacing w:after="0" w:line="560" w:lineRule="exact"/>
        <w:ind w:left="0" w:leftChars="0" w:right="0" w:rightChars="0" w:firstLine="0" w:firstLineChars="0"/>
        <w:jc w:val="center"/>
        <w:textAlignment w:val="auto"/>
        <w:outlineLvl w:val="9"/>
        <w:rPr>
          <w:rFonts w:ascii="方正小标宋简体" w:hAnsi="黑体" w:eastAsia="方正小标宋简体"/>
          <w:sz w:val="44"/>
          <w:szCs w:val="44"/>
        </w:rPr>
      </w:pPr>
      <w:r>
        <w:rPr>
          <w:rFonts w:ascii="方正小标宋简体" w:hAnsi="黑体" w:eastAsia="方正小标宋简体"/>
          <w:sz w:val="44"/>
          <w:szCs w:val="44"/>
        </w:rPr>
        <w:t>71.</w:t>
      </w:r>
      <w:r>
        <w:rPr>
          <w:rFonts w:hint="eastAsia" w:ascii="方正小标宋简体" w:hAnsi="黑体" w:eastAsia="方正小标宋简体"/>
          <w:sz w:val="44"/>
          <w:szCs w:val="44"/>
        </w:rPr>
        <w:t>对举报违反劳动保障法律、法规或者规章行为有功的组织或者个人给予奖励</w:t>
      </w:r>
    </w:p>
    <w:p>
      <w:pPr>
        <w:spacing w:after="0" w:line="240" w:lineRule="exact"/>
        <w:jc w:val="center"/>
        <w:rPr>
          <w:rFonts w:ascii="方正小标宋简体" w:eastAsia="方正小标宋简体"/>
          <w:b/>
          <w:sz w:val="24"/>
          <w:szCs w:val="24"/>
        </w:rPr>
      </w:pPr>
    </w:p>
    <w:tbl>
      <w:tblPr>
        <w:tblStyle w:val="6"/>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418"/>
        <w:gridCol w:w="1417"/>
        <w:gridCol w:w="5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1</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事项类型</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行政奖励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hAnsi="宋体" w:eastAsia="方正小标宋简体"/>
                <w:sz w:val="28"/>
                <w:szCs w:val="28"/>
              </w:rPr>
            </w:pPr>
            <w:r>
              <w:rPr>
                <w:rFonts w:ascii="方正小标宋简体" w:hAnsi="宋体" w:eastAsia="方正小标宋简体"/>
                <w:sz w:val="28"/>
                <w:szCs w:val="28"/>
              </w:rPr>
              <w:t>2</w:t>
            </w:r>
          </w:p>
        </w:tc>
        <w:tc>
          <w:tcPr>
            <w:tcW w:w="1418" w:type="dxa"/>
            <w:tcMar>
              <w:top w:w="57" w:type="dxa"/>
              <w:bottom w:w="57" w:type="dxa"/>
            </w:tcMar>
            <w:vAlign w:val="center"/>
          </w:tcPr>
          <w:p>
            <w:pPr>
              <w:spacing w:after="0"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基本编码</w:t>
            </w:r>
          </w:p>
        </w:tc>
        <w:tc>
          <w:tcPr>
            <w:tcW w:w="7086" w:type="dxa"/>
            <w:gridSpan w:val="2"/>
            <w:tcMar>
              <w:top w:w="57" w:type="dxa"/>
              <w:bottom w:w="57" w:type="dxa"/>
            </w:tcMar>
            <w:vAlign w:val="center"/>
          </w:tcPr>
          <w:p>
            <w:pPr>
              <w:spacing w:after="0" w:line="400" w:lineRule="exact"/>
              <w:ind w:firstLine="422" w:firstLineChars="20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hAnsi="宋体" w:eastAsia="方正小标宋简体"/>
                <w:sz w:val="28"/>
                <w:szCs w:val="28"/>
              </w:rPr>
            </w:pPr>
            <w:r>
              <w:rPr>
                <w:rFonts w:ascii="方正小标宋简体" w:hAnsi="宋体" w:eastAsia="方正小标宋简体"/>
                <w:sz w:val="28"/>
                <w:szCs w:val="28"/>
              </w:rPr>
              <w:t>3</w:t>
            </w:r>
          </w:p>
        </w:tc>
        <w:tc>
          <w:tcPr>
            <w:tcW w:w="1418" w:type="dxa"/>
            <w:tcMar>
              <w:top w:w="57" w:type="dxa"/>
              <w:bottom w:w="57" w:type="dxa"/>
            </w:tcMar>
            <w:vAlign w:val="center"/>
          </w:tcPr>
          <w:p>
            <w:pPr>
              <w:spacing w:after="0"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实施编码</w:t>
            </w:r>
          </w:p>
        </w:tc>
        <w:tc>
          <w:tcPr>
            <w:tcW w:w="7086" w:type="dxa"/>
            <w:gridSpan w:val="2"/>
            <w:tcMar>
              <w:top w:w="57" w:type="dxa"/>
              <w:bottom w:w="57" w:type="dxa"/>
            </w:tcMar>
            <w:vAlign w:val="center"/>
          </w:tcPr>
          <w:p>
            <w:pPr>
              <w:spacing w:after="0" w:line="400" w:lineRule="exact"/>
              <w:ind w:firstLine="422" w:firstLineChars="20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vMerge w:val="restart"/>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4</w:t>
            </w:r>
          </w:p>
        </w:tc>
        <w:tc>
          <w:tcPr>
            <w:tcW w:w="1418" w:type="dxa"/>
            <w:vMerge w:val="restart"/>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事项名称</w:t>
            </w:r>
          </w:p>
        </w:tc>
        <w:tc>
          <w:tcPr>
            <w:tcW w:w="1417" w:type="dxa"/>
            <w:tcMar>
              <w:top w:w="57" w:type="dxa"/>
              <w:bottom w:w="57" w:type="dxa"/>
            </w:tcMar>
            <w:vAlign w:val="center"/>
          </w:tcPr>
          <w:p>
            <w:pPr>
              <w:spacing w:after="0"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669" w:type="dxa"/>
            <w:tcMar>
              <w:top w:w="57" w:type="dxa"/>
              <w:bottom w:w="57" w:type="dxa"/>
            </w:tcMar>
            <w:vAlign w:val="center"/>
          </w:tcPr>
          <w:p>
            <w:pPr>
              <w:spacing w:after="0" w:line="400" w:lineRule="exact"/>
              <w:ind w:firstLine="420" w:firstLineChars="200"/>
              <w:rPr>
                <w:rFonts w:ascii="宋体" w:hAnsi="宋体" w:eastAsia="宋体"/>
                <w:b/>
                <w:sz w:val="21"/>
                <w:szCs w:val="21"/>
              </w:rPr>
            </w:pPr>
            <w:r>
              <w:rPr>
                <w:rFonts w:hint="eastAsia" w:ascii="宋体" w:hAnsi="宋体" w:eastAsia="宋体"/>
                <w:sz w:val="21"/>
                <w:szCs w:val="21"/>
              </w:rPr>
              <w:t>对举报违反劳动保障法律、法规或者规章行为有功的组织或者个人给予奖励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vMerge w:val="continue"/>
            <w:tcMar>
              <w:top w:w="57" w:type="dxa"/>
              <w:bottom w:w="57" w:type="dxa"/>
            </w:tcMar>
            <w:vAlign w:val="center"/>
          </w:tcPr>
          <w:p>
            <w:pPr>
              <w:spacing w:after="0" w:line="400" w:lineRule="exact"/>
              <w:jc w:val="center"/>
              <w:rPr>
                <w:rFonts w:ascii="方正小标宋简体" w:eastAsia="方正小标宋简体"/>
                <w:b/>
                <w:sz w:val="28"/>
                <w:szCs w:val="28"/>
              </w:rPr>
            </w:pPr>
          </w:p>
        </w:tc>
        <w:tc>
          <w:tcPr>
            <w:tcW w:w="1418" w:type="dxa"/>
            <w:vMerge w:val="continue"/>
            <w:tcMar>
              <w:top w:w="57" w:type="dxa"/>
              <w:bottom w:w="57" w:type="dxa"/>
            </w:tcMar>
            <w:vAlign w:val="center"/>
          </w:tcPr>
          <w:p>
            <w:pPr>
              <w:spacing w:after="0" w:line="400" w:lineRule="exact"/>
              <w:jc w:val="center"/>
              <w:rPr>
                <w:rFonts w:ascii="方正小标宋简体" w:eastAsia="方正小标宋简体"/>
                <w:b/>
                <w:sz w:val="28"/>
                <w:szCs w:val="28"/>
              </w:rPr>
            </w:pPr>
          </w:p>
        </w:tc>
        <w:tc>
          <w:tcPr>
            <w:tcW w:w="1417" w:type="dxa"/>
            <w:tcMar>
              <w:top w:w="57" w:type="dxa"/>
              <w:bottom w:w="57" w:type="dxa"/>
            </w:tcMar>
            <w:vAlign w:val="center"/>
          </w:tcPr>
          <w:p>
            <w:pPr>
              <w:spacing w:after="0"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669" w:type="dxa"/>
            <w:tcMar>
              <w:top w:w="57" w:type="dxa"/>
              <w:bottom w:w="57" w:type="dxa"/>
            </w:tcMar>
            <w:vAlign w:val="center"/>
          </w:tcPr>
          <w:p>
            <w:pPr>
              <w:spacing w:after="0" w:line="400" w:lineRule="exact"/>
              <w:ind w:firstLine="422" w:firstLineChars="20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5</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实施主体</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柳州市人力资源和社会保障局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6</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实施主体</w:t>
            </w:r>
          </w:p>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性质</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法定机关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7</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承办机构</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柳州市劳动保障监察支队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8</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联办机构</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9</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办理地点</w:t>
            </w:r>
          </w:p>
        </w:tc>
        <w:tc>
          <w:tcPr>
            <w:tcW w:w="7086" w:type="dxa"/>
            <w:gridSpan w:val="2"/>
            <w:tcMar>
              <w:top w:w="57" w:type="dxa"/>
              <w:bottom w:w="57" w:type="dxa"/>
            </w:tcMar>
            <w:vAlign w:val="center"/>
          </w:tcPr>
          <w:p>
            <w:pPr>
              <w:spacing w:line="400" w:lineRule="exact"/>
              <w:ind w:firstLine="420" w:firstLineChars="200"/>
              <w:rPr>
                <w:rFonts w:hint="eastAsia" w:ascii="宋体" w:eastAsia="微软雅黑"/>
                <w:b/>
                <w:sz w:val="21"/>
                <w:szCs w:val="21"/>
                <w:lang w:eastAsia="zh-CN"/>
              </w:rPr>
            </w:pPr>
            <w:r>
              <w:rPr>
                <w:rFonts w:hint="eastAsia" w:ascii="宋体" w:hAnsi="宋体"/>
                <w:sz w:val="21"/>
                <w:szCs w:val="21"/>
                <w:lang w:eastAsia="zh-CN"/>
              </w:rPr>
              <w:t>柳州市北站路</w:t>
            </w:r>
            <w:r>
              <w:rPr>
                <w:rFonts w:hint="eastAsia" w:ascii="宋体" w:hAnsi="宋体"/>
                <w:sz w:val="21"/>
                <w:szCs w:val="21"/>
                <w:lang w:val="en-US" w:eastAsia="zh-CN"/>
              </w:rPr>
              <w:t>27号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07"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10</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办理时间</w:t>
            </w:r>
          </w:p>
        </w:tc>
        <w:tc>
          <w:tcPr>
            <w:tcW w:w="7086" w:type="dxa"/>
            <w:gridSpan w:val="2"/>
            <w:tcMar>
              <w:top w:w="57" w:type="dxa"/>
              <w:bottom w:w="57" w:type="dxa"/>
            </w:tcMar>
            <w:vAlign w:val="center"/>
          </w:tcPr>
          <w:p>
            <w:pPr>
              <w:spacing w:line="400" w:lineRule="exact"/>
              <w:ind w:firstLine="420" w:firstLineChars="200"/>
              <w:rPr>
                <w:rFonts w:ascii="宋体"/>
                <w:b/>
                <w:sz w:val="21"/>
                <w:szCs w:val="21"/>
              </w:rPr>
            </w:pPr>
            <w:r>
              <w:rPr>
                <w:rFonts w:hint="eastAsia" w:ascii="宋体" w:hAnsi="宋体" w:cs="微软雅黑"/>
                <w:sz w:val="21"/>
                <w:szCs w:val="21"/>
              </w:rPr>
              <w:t>工作日上午8:00-12:00,下午15:00-18:00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vMerge w:val="restart"/>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11</w:t>
            </w:r>
          </w:p>
        </w:tc>
        <w:tc>
          <w:tcPr>
            <w:tcW w:w="1418" w:type="dxa"/>
            <w:vMerge w:val="restart"/>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咨询及</w:t>
            </w:r>
          </w:p>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Mar>
              <w:top w:w="57" w:type="dxa"/>
              <w:bottom w:w="57" w:type="dxa"/>
            </w:tcMar>
            <w:vAlign w:val="center"/>
          </w:tcPr>
          <w:p>
            <w:pPr>
              <w:widowControl w:val="0"/>
              <w:spacing w:line="400" w:lineRule="exact"/>
              <w:jc w:val="center"/>
              <w:rPr>
                <w:rFonts w:ascii="宋体"/>
                <w:kern w:val="2"/>
                <w:sz w:val="21"/>
                <w:szCs w:val="21"/>
              </w:rPr>
            </w:pPr>
            <w:r>
              <w:rPr>
                <w:rFonts w:hint="eastAsia" w:ascii="宋体" w:hAnsi="宋体"/>
                <w:sz w:val="21"/>
                <w:szCs w:val="21"/>
              </w:rPr>
              <w:t>咨询电话</w:t>
            </w:r>
          </w:p>
        </w:tc>
        <w:tc>
          <w:tcPr>
            <w:tcW w:w="5669" w:type="dxa"/>
            <w:tcMar>
              <w:top w:w="57" w:type="dxa"/>
              <w:bottom w:w="57" w:type="dxa"/>
            </w:tcMar>
            <w:vAlign w:val="center"/>
          </w:tcPr>
          <w:p>
            <w:pPr>
              <w:widowControl w:val="0"/>
              <w:spacing w:line="400" w:lineRule="exact"/>
              <w:ind w:firstLine="400" w:firstLineChars="200"/>
              <w:jc w:val="both"/>
              <w:rPr>
                <w:rFonts w:ascii="宋体"/>
                <w:kern w:val="2"/>
                <w:sz w:val="21"/>
                <w:szCs w:val="21"/>
              </w:rPr>
            </w:pPr>
            <w:r>
              <w:rPr>
                <w:rFonts w:ascii="仿宋" w:hAnsi="仿宋" w:eastAsia="仿宋"/>
                <w:sz w:val="20"/>
                <w:szCs w:val="20"/>
              </w:rPr>
              <w:t>0772-2870911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vMerge w:val="continue"/>
            <w:tcMar>
              <w:top w:w="57" w:type="dxa"/>
              <w:bottom w:w="57" w:type="dxa"/>
            </w:tcMar>
            <w:vAlign w:val="center"/>
          </w:tcPr>
          <w:p>
            <w:pPr>
              <w:spacing w:after="0" w:line="400" w:lineRule="exact"/>
              <w:jc w:val="center"/>
              <w:rPr>
                <w:rFonts w:ascii="方正小标宋简体" w:eastAsia="方正小标宋简体"/>
                <w:sz w:val="28"/>
                <w:szCs w:val="28"/>
              </w:rPr>
            </w:pPr>
          </w:p>
        </w:tc>
        <w:tc>
          <w:tcPr>
            <w:tcW w:w="1418" w:type="dxa"/>
            <w:vMerge w:val="continue"/>
            <w:tcMar>
              <w:top w:w="57" w:type="dxa"/>
              <w:bottom w:w="57" w:type="dxa"/>
            </w:tcMar>
          </w:tcPr>
          <w:p>
            <w:pPr>
              <w:spacing w:after="0" w:line="400" w:lineRule="exact"/>
              <w:jc w:val="center"/>
              <w:rPr>
                <w:rFonts w:ascii="方正小标宋简体" w:eastAsia="方正小标宋简体"/>
                <w:sz w:val="28"/>
                <w:szCs w:val="28"/>
              </w:rPr>
            </w:pPr>
          </w:p>
        </w:tc>
        <w:tc>
          <w:tcPr>
            <w:tcW w:w="1417" w:type="dxa"/>
            <w:tcMar>
              <w:top w:w="57" w:type="dxa"/>
              <w:bottom w:w="57" w:type="dxa"/>
            </w:tcMar>
            <w:vAlign w:val="center"/>
          </w:tcPr>
          <w:p>
            <w:pPr>
              <w:widowControl w:val="0"/>
              <w:spacing w:line="400" w:lineRule="exact"/>
              <w:jc w:val="center"/>
              <w:rPr>
                <w:rFonts w:ascii="宋体"/>
                <w:kern w:val="2"/>
                <w:sz w:val="21"/>
                <w:szCs w:val="21"/>
              </w:rPr>
            </w:pPr>
            <w:r>
              <w:rPr>
                <w:rFonts w:hint="eastAsia" w:ascii="宋体" w:hAnsi="宋体"/>
                <w:sz w:val="21"/>
                <w:szCs w:val="21"/>
              </w:rPr>
              <w:t>监督电话</w:t>
            </w:r>
          </w:p>
        </w:tc>
        <w:tc>
          <w:tcPr>
            <w:tcW w:w="5669" w:type="dxa"/>
            <w:tcMar>
              <w:top w:w="57" w:type="dxa"/>
              <w:bottom w:w="57" w:type="dxa"/>
            </w:tcMar>
            <w:vAlign w:val="center"/>
          </w:tcPr>
          <w:p>
            <w:pPr>
              <w:widowControl w:val="0"/>
              <w:spacing w:line="400" w:lineRule="exact"/>
              <w:ind w:firstLine="400" w:firstLineChars="200"/>
              <w:jc w:val="both"/>
              <w:rPr>
                <w:rFonts w:ascii="宋体"/>
                <w:kern w:val="2"/>
                <w:sz w:val="21"/>
                <w:szCs w:val="21"/>
              </w:rPr>
            </w:pPr>
            <w:r>
              <w:rPr>
                <w:rFonts w:ascii="仿宋" w:hAnsi="仿宋" w:eastAsia="仿宋"/>
                <w:sz w:val="20"/>
                <w:szCs w:val="20"/>
              </w:rPr>
              <w:t>0772-2870261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12</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设定依据</w:t>
            </w:r>
          </w:p>
        </w:tc>
        <w:tc>
          <w:tcPr>
            <w:tcW w:w="7086" w:type="dxa"/>
            <w:gridSpan w:val="2"/>
            <w:tcMar>
              <w:top w:w="57" w:type="dxa"/>
              <w:bottom w:w="57" w:type="dxa"/>
            </w:tcMar>
          </w:tcPr>
          <w:p>
            <w:pPr>
              <w:spacing w:after="0" w:line="400" w:lineRule="exact"/>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《中华人民共和国劳动合同法》（</w:t>
            </w:r>
            <w:r>
              <w:rPr>
                <w:rFonts w:ascii="宋体" w:hAnsi="宋体" w:eastAsia="宋体"/>
                <w:sz w:val="21"/>
                <w:szCs w:val="21"/>
              </w:rPr>
              <w:t>2007</w:t>
            </w:r>
            <w:r>
              <w:rPr>
                <w:rFonts w:hint="eastAsia" w:ascii="宋体" w:hAnsi="宋体" w:eastAsia="宋体"/>
                <w:sz w:val="21"/>
                <w:szCs w:val="21"/>
              </w:rPr>
              <w:t>年</w:t>
            </w:r>
            <w:r>
              <w:rPr>
                <w:rFonts w:ascii="宋体" w:hAnsi="宋体" w:eastAsia="宋体"/>
                <w:sz w:val="21"/>
                <w:szCs w:val="21"/>
              </w:rPr>
              <w:t>6</w:t>
            </w:r>
            <w:r>
              <w:rPr>
                <w:rFonts w:hint="eastAsia" w:ascii="宋体" w:hAnsi="宋体" w:eastAsia="宋体"/>
                <w:sz w:val="21"/>
                <w:szCs w:val="21"/>
              </w:rPr>
              <w:t>月</w:t>
            </w:r>
            <w:r>
              <w:rPr>
                <w:rFonts w:ascii="宋体" w:hAnsi="宋体" w:eastAsia="宋体"/>
                <w:sz w:val="21"/>
                <w:szCs w:val="21"/>
              </w:rPr>
              <w:t>29</w:t>
            </w:r>
            <w:r>
              <w:rPr>
                <w:rFonts w:hint="eastAsia" w:ascii="宋体" w:hAnsi="宋体" w:eastAsia="宋体"/>
                <w:sz w:val="21"/>
                <w:szCs w:val="21"/>
              </w:rPr>
              <w:t>日中华人民共和国主席令第</w:t>
            </w:r>
            <w:r>
              <w:rPr>
                <w:rFonts w:ascii="宋体" w:hAnsi="宋体" w:eastAsia="宋体"/>
                <w:sz w:val="21"/>
                <w:szCs w:val="21"/>
              </w:rPr>
              <w:t>65</w:t>
            </w:r>
            <w:r>
              <w:rPr>
                <w:rFonts w:hint="eastAsia" w:ascii="宋体" w:hAnsi="宋体" w:eastAsia="宋体"/>
                <w:sz w:val="21"/>
                <w:szCs w:val="21"/>
              </w:rPr>
              <w:t>号公布，自</w:t>
            </w:r>
            <w:r>
              <w:rPr>
                <w:rFonts w:ascii="宋体" w:hAnsi="宋体" w:eastAsia="宋体"/>
                <w:sz w:val="21"/>
                <w:szCs w:val="21"/>
              </w:rPr>
              <w:t>2008</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日起施行，</w:t>
            </w:r>
            <w:r>
              <w:rPr>
                <w:rFonts w:ascii="宋体" w:hAnsi="宋体" w:eastAsia="宋体"/>
                <w:sz w:val="21"/>
                <w:szCs w:val="21"/>
              </w:rPr>
              <w:t>2012</w:t>
            </w:r>
            <w:r>
              <w:rPr>
                <w:rFonts w:hint="eastAsia" w:ascii="宋体" w:hAnsi="宋体" w:eastAsia="宋体"/>
                <w:sz w:val="21"/>
                <w:szCs w:val="21"/>
              </w:rPr>
              <w:t>年</w:t>
            </w:r>
            <w:r>
              <w:rPr>
                <w:rFonts w:ascii="宋体" w:hAnsi="宋体" w:eastAsia="宋体"/>
                <w:sz w:val="21"/>
                <w:szCs w:val="21"/>
              </w:rPr>
              <w:t>12</w:t>
            </w:r>
            <w:r>
              <w:rPr>
                <w:rFonts w:hint="eastAsia" w:ascii="宋体" w:hAnsi="宋体" w:eastAsia="宋体"/>
                <w:sz w:val="21"/>
                <w:szCs w:val="21"/>
              </w:rPr>
              <w:t>月</w:t>
            </w:r>
            <w:r>
              <w:rPr>
                <w:rFonts w:ascii="宋体" w:hAnsi="宋体" w:eastAsia="宋体"/>
                <w:sz w:val="21"/>
                <w:szCs w:val="21"/>
              </w:rPr>
              <w:t>28</w:t>
            </w:r>
            <w:r>
              <w:rPr>
                <w:rFonts w:hint="eastAsia" w:ascii="宋体" w:hAnsi="宋体" w:eastAsia="宋体"/>
                <w:sz w:val="21"/>
                <w:szCs w:val="21"/>
              </w:rPr>
              <w:t>日修订）第七十九条</w:t>
            </w:r>
            <w:r>
              <w:rPr>
                <w:rFonts w:ascii="宋体" w:hAnsi="宋体" w:eastAsia="宋体"/>
                <w:sz w:val="21"/>
                <w:szCs w:val="21"/>
              </w:rPr>
              <w:t xml:space="preserve">  </w:t>
            </w:r>
            <w:r>
              <w:rPr>
                <w:rFonts w:hint="eastAsia" w:ascii="宋体" w:hAnsi="宋体" w:eastAsia="宋体"/>
                <w:sz w:val="21"/>
                <w:szCs w:val="21"/>
              </w:rPr>
              <w:t>任何组织或者个人对违反本法的行为都有权举报，县级以上人民政府劳动行政部门应当及时核实、处理，并对举报有功人员给予奖励。</w:t>
            </w:r>
          </w:p>
          <w:p>
            <w:pPr>
              <w:spacing w:after="0" w:line="400" w:lineRule="exact"/>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《劳动保障监察条例》（</w:t>
            </w:r>
            <w:r>
              <w:rPr>
                <w:rFonts w:ascii="宋体" w:hAnsi="宋体" w:eastAsia="宋体"/>
                <w:sz w:val="21"/>
                <w:szCs w:val="21"/>
              </w:rPr>
              <w:t>2004</w:t>
            </w:r>
            <w:r>
              <w:rPr>
                <w:rFonts w:hint="eastAsia" w:ascii="宋体" w:hAnsi="宋体" w:eastAsia="宋体"/>
                <w:sz w:val="21"/>
                <w:szCs w:val="21"/>
              </w:rPr>
              <w:t>年</w:t>
            </w:r>
            <w:r>
              <w:rPr>
                <w:rFonts w:ascii="宋体" w:hAnsi="宋体" w:eastAsia="宋体"/>
                <w:sz w:val="21"/>
                <w:szCs w:val="21"/>
              </w:rPr>
              <w:t>11</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日中华人民共和国国务院令第</w:t>
            </w:r>
            <w:r>
              <w:rPr>
                <w:rFonts w:ascii="宋体" w:hAnsi="宋体" w:eastAsia="宋体"/>
                <w:sz w:val="21"/>
                <w:szCs w:val="21"/>
              </w:rPr>
              <w:t>423</w:t>
            </w:r>
            <w:r>
              <w:rPr>
                <w:rFonts w:hint="eastAsia" w:ascii="宋体" w:hAnsi="宋体" w:eastAsia="宋体"/>
                <w:sz w:val="21"/>
                <w:szCs w:val="21"/>
              </w:rPr>
              <w:t>号公布，自</w:t>
            </w:r>
            <w:r>
              <w:rPr>
                <w:rFonts w:ascii="宋体" w:hAnsi="宋体" w:eastAsia="宋体"/>
                <w:sz w:val="21"/>
                <w:szCs w:val="21"/>
              </w:rPr>
              <w:t>2004</w:t>
            </w:r>
            <w:r>
              <w:rPr>
                <w:rFonts w:hint="eastAsia" w:ascii="宋体" w:hAnsi="宋体" w:eastAsia="宋体"/>
                <w:sz w:val="21"/>
                <w:szCs w:val="21"/>
              </w:rPr>
              <w:t>年</w:t>
            </w:r>
            <w:r>
              <w:rPr>
                <w:rFonts w:ascii="宋体" w:hAnsi="宋体" w:eastAsia="宋体"/>
                <w:sz w:val="21"/>
                <w:szCs w:val="21"/>
              </w:rPr>
              <w:t>12</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日起施行）第九条</w:t>
            </w:r>
            <w:r>
              <w:rPr>
                <w:rFonts w:ascii="宋体" w:hAnsi="宋体" w:eastAsia="宋体"/>
                <w:sz w:val="21"/>
                <w:szCs w:val="21"/>
              </w:rPr>
              <w:t xml:space="preserve">  </w:t>
            </w:r>
            <w:r>
              <w:rPr>
                <w:rFonts w:hint="eastAsia" w:ascii="宋体" w:hAnsi="宋体" w:eastAsia="宋体"/>
                <w:sz w:val="21"/>
                <w:szCs w:val="21"/>
              </w:rPr>
              <w:t>任何组织或者个人对违反劳动保障法律、法规或者规章的行为，有权向劳动保障行政部门举报。劳动者认为用人单位侵犯其劳动保障合法权益的，有权向劳动保障行政部门投诉。劳动保障行政部门应当为举报人保密；对举报属实，为查处重大违反劳动保障法律、法规或者规章的行为提供主要线索和证据的举报人，给予奖励。</w:t>
            </w:r>
          </w:p>
          <w:p>
            <w:pPr>
              <w:spacing w:after="0" w:line="400" w:lineRule="exact"/>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《关于实施</w:t>
            </w:r>
            <w:r>
              <w:rPr>
                <w:rFonts w:ascii="宋体" w:hAnsi="宋体" w:eastAsia="宋体"/>
                <w:sz w:val="21"/>
                <w:szCs w:val="21"/>
              </w:rPr>
              <w:t>&lt;</w:t>
            </w:r>
            <w:r>
              <w:rPr>
                <w:rFonts w:hint="eastAsia" w:ascii="宋体" w:hAnsi="宋体" w:eastAsia="宋体"/>
                <w:sz w:val="21"/>
                <w:szCs w:val="21"/>
              </w:rPr>
              <w:t>劳动保障监察条例</w:t>
            </w:r>
            <w:r>
              <w:rPr>
                <w:rFonts w:ascii="宋体" w:hAnsi="宋体" w:eastAsia="宋体"/>
                <w:sz w:val="21"/>
                <w:szCs w:val="21"/>
              </w:rPr>
              <w:t>&gt;</w:t>
            </w:r>
            <w:r>
              <w:rPr>
                <w:rFonts w:hint="eastAsia" w:ascii="宋体" w:hAnsi="宋体" w:eastAsia="宋体"/>
                <w:sz w:val="21"/>
                <w:szCs w:val="21"/>
              </w:rPr>
              <w:t>若干规定》（</w:t>
            </w:r>
            <w:r>
              <w:rPr>
                <w:rFonts w:ascii="宋体" w:hAnsi="宋体" w:eastAsia="宋体"/>
                <w:sz w:val="21"/>
                <w:szCs w:val="21"/>
              </w:rPr>
              <w:t>2004</w:t>
            </w:r>
            <w:r>
              <w:rPr>
                <w:rFonts w:hint="eastAsia" w:ascii="宋体" w:hAnsi="宋体" w:eastAsia="宋体"/>
                <w:sz w:val="21"/>
                <w:szCs w:val="21"/>
              </w:rPr>
              <w:t>年</w:t>
            </w:r>
            <w:r>
              <w:rPr>
                <w:rFonts w:ascii="宋体" w:hAnsi="宋体" w:eastAsia="宋体"/>
                <w:sz w:val="21"/>
                <w:szCs w:val="21"/>
              </w:rPr>
              <w:t>12</w:t>
            </w:r>
            <w:r>
              <w:rPr>
                <w:rFonts w:hint="eastAsia" w:ascii="宋体" w:hAnsi="宋体" w:eastAsia="宋体"/>
                <w:sz w:val="21"/>
                <w:szCs w:val="21"/>
              </w:rPr>
              <w:t>月</w:t>
            </w:r>
            <w:r>
              <w:rPr>
                <w:rFonts w:ascii="宋体" w:hAnsi="宋体" w:eastAsia="宋体"/>
                <w:sz w:val="21"/>
                <w:szCs w:val="21"/>
              </w:rPr>
              <w:t>31</w:t>
            </w:r>
            <w:r>
              <w:rPr>
                <w:rFonts w:hint="eastAsia" w:ascii="宋体" w:hAnsi="宋体" w:eastAsia="宋体"/>
                <w:sz w:val="21"/>
                <w:szCs w:val="21"/>
              </w:rPr>
              <w:t>日中华人民共和国劳动和社会保障部令第</w:t>
            </w:r>
            <w:r>
              <w:rPr>
                <w:rFonts w:ascii="宋体" w:hAnsi="宋体" w:eastAsia="宋体"/>
                <w:sz w:val="21"/>
                <w:szCs w:val="21"/>
              </w:rPr>
              <w:t>25</w:t>
            </w:r>
            <w:r>
              <w:rPr>
                <w:rFonts w:hint="eastAsia" w:ascii="宋体" w:hAnsi="宋体" w:eastAsia="宋体"/>
                <w:sz w:val="21"/>
                <w:szCs w:val="21"/>
              </w:rPr>
              <w:t>号公布，自</w:t>
            </w:r>
            <w:r>
              <w:rPr>
                <w:rFonts w:ascii="宋体" w:hAnsi="宋体" w:eastAsia="宋体"/>
                <w:sz w:val="21"/>
                <w:szCs w:val="21"/>
              </w:rPr>
              <w:t>2005</w:t>
            </w:r>
            <w:r>
              <w:rPr>
                <w:rFonts w:hint="eastAsia" w:ascii="宋体" w:hAnsi="宋体" w:eastAsia="宋体"/>
                <w:sz w:val="21"/>
                <w:szCs w:val="21"/>
              </w:rPr>
              <w:t>年</w:t>
            </w:r>
            <w:r>
              <w:rPr>
                <w:rFonts w:ascii="宋体" w:hAnsi="宋体" w:eastAsia="宋体"/>
                <w:sz w:val="21"/>
                <w:szCs w:val="21"/>
              </w:rPr>
              <w:t>2</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日起施行）第十一条</w:t>
            </w:r>
            <w:r>
              <w:rPr>
                <w:rFonts w:ascii="宋体" w:hAnsi="宋体" w:eastAsia="宋体"/>
                <w:sz w:val="21"/>
                <w:szCs w:val="21"/>
              </w:rPr>
              <w:t xml:space="preserve">  </w:t>
            </w:r>
            <w:r>
              <w:rPr>
                <w:rFonts w:hint="eastAsia" w:ascii="宋体" w:hAnsi="宋体" w:eastAsia="宋体"/>
                <w:sz w:val="21"/>
                <w:szCs w:val="21"/>
              </w:rPr>
              <w:t>劳动保障行政部门对举报人反映的违反劳动保障法律的行为应当依法予以查处，并为举报人保密；对举报属实，为查处重大违反劳动保障法律的行为提供主要线索和证据的举报人，给予奖励。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8"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13</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实施对象</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举报违法劳动保障法律、法规或者规章行为有功的组织或个人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14</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行使层级</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sz w:val="21"/>
                <w:szCs w:val="21"/>
              </w:rPr>
              <w:t>此事项属于自治区、市、县三级分级管理。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52"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15</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权限划分</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《中华人民共和国劳动合同法》（</w:t>
            </w:r>
            <w:r>
              <w:rPr>
                <w:rFonts w:ascii="宋体" w:hAnsi="宋体" w:eastAsia="宋体"/>
                <w:sz w:val="21"/>
                <w:szCs w:val="21"/>
              </w:rPr>
              <w:t>2007</w:t>
            </w:r>
            <w:r>
              <w:rPr>
                <w:rFonts w:hint="eastAsia" w:ascii="宋体" w:hAnsi="宋体" w:eastAsia="宋体"/>
                <w:sz w:val="21"/>
                <w:szCs w:val="21"/>
              </w:rPr>
              <w:t>年</w:t>
            </w:r>
            <w:r>
              <w:rPr>
                <w:rFonts w:ascii="宋体" w:hAnsi="宋体" w:eastAsia="宋体"/>
                <w:sz w:val="21"/>
                <w:szCs w:val="21"/>
              </w:rPr>
              <w:t>6</w:t>
            </w:r>
            <w:r>
              <w:rPr>
                <w:rFonts w:hint="eastAsia" w:ascii="宋体" w:hAnsi="宋体" w:eastAsia="宋体"/>
                <w:sz w:val="21"/>
                <w:szCs w:val="21"/>
              </w:rPr>
              <w:t>月</w:t>
            </w:r>
            <w:r>
              <w:rPr>
                <w:rFonts w:ascii="宋体" w:hAnsi="宋体" w:eastAsia="宋体"/>
                <w:sz w:val="21"/>
                <w:szCs w:val="21"/>
              </w:rPr>
              <w:t>29</w:t>
            </w:r>
            <w:r>
              <w:rPr>
                <w:rFonts w:hint="eastAsia" w:ascii="宋体" w:hAnsi="宋体" w:eastAsia="宋体"/>
                <w:sz w:val="21"/>
                <w:szCs w:val="21"/>
              </w:rPr>
              <w:t>日中华人民共和国主席令第</w:t>
            </w:r>
            <w:r>
              <w:rPr>
                <w:rFonts w:ascii="宋体" w:hAnsi="宋体" w:eastAsia="宋体"/>
                <w:sz w:val="21"/>
                <w:szCs w:val="21"/>
              </w:rPr>
              <w:t>65</w:t>
            </w:r>
            <w:r>
              <w:rPr>
                <w:rFonts w:hint="eastAsia" w:ascii="宋体" w:hAnsi="宋体" w:eastAsia="宋体"/>
                <w:sz w:val="21"/>
                <w:szCs w:val="21"/>
              </w:rPr>
              <w:t>号公布，自</w:t>
            </w:r>
            <w:r>
              <w:rPr>
                <w:rFonts w:ascii="宋体" w:hAnsi="宋体" w:eastAsia="宋体"/>
                <w:sz w:val="21"/>
                <w:szCs w:val="21"/>
              </w:rPr>
              <w:t>2008</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日起施行，</w:t>
            </w:r>
            <w:r>
              <w:rPr>
                <w:rFonts w:ascii="宋体" w:hAnsi="宋体" w:eastAsia="宋体"/>
                <w:sz w:val="21"/>
                <w:szCs w:val="21"/>
              </w:rPr>
              <w:t>2012</w:t>
            </w:r>
            <w:r>
              <w:rPr>
                <w:rFonts w:hint="eastAsia" w:ascii="宋体" w:hAnsi="宋体" w:eastAsia="宋体"/>
                <w:sz w:val="21"/>
                <w:szCs w:val="21"/>
              </w:rPr>
              <w:t>年</w:t>
            </w:r>
            <w:r>
              <w:rPr>
                <w:rFonts w:ascii="宋体" w:hAnsi="宋体" w:eastAsia="宋体"/>
                <w:sz w:val="21"/>
                <w:szCs w:val="21"/>
              </w:rPr>
              <w:t>12</w:t>
            </w:r>
            <w:r>
              <w:rPr>
                <w:rFonts w:hint="eastAsia" w:ascii="宋体" w:hAnsi="宋体" w:eastAsia="宋体"/>
                <w:sz w:val="21"/>
                <w:szCs w:val="21"/>
              </w:rPr>
              <w:t>月</w:t>
            </w:r>
            <w:r>
              <w:rPr>
                <w:rFonts w:ascii="宋体" w:hAnsi="宋体" w:eastAsia="宋体"/>
                <w:sz w:val="21"/>
                <w:szCs w:val="21"/>
              </w:rPr>
              <w:t>28</w:t>
            </w:r>
            <w:r>
              <w:rPr>
                <w:rFonts w:hint="eastAsia" w:ascii="宋体" w:hAnsi="宋体" w:eastAsia="宋体"/>
                <w:sz w:val="21"/>
                <w:szCs w:val="21"/>
              </w:rPr>
              <w:t>日修订）第七十九条</w:t>
            </w:r>
            <w:r>
              <w:rPr>
                <w:rFonts w:ascii="宋体" w:hAnsi="宋体" w:eastAsia="宋体"/>
                <w:sz w:val="21"/>
                <w:szCs w:val="21"/>
              </w:rPr>
              <w:t xml:space="preserve">  </w:t>
            </w:r>
            <w:r>
              <w:rPr>
                <w:rFonts w:hint="eastAsia" w:ascii="宋体" w:hAnsi="宋体" w:eastAsia="宋体"/>
                <w:sz w:val="21"/>
                <w:szCs w:val="21"/>
              </w:rPr>
              <w:t>任何组织或者个人对违反本法的行为都有权举报，县级以上人民政府劳动行政部门应当及时核实、处理，并对举报有功人员给予奖励。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2"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16</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行使内容</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cs="宋体"/>
                <w:sz w:val="21"/>
                <w:szCs w:val="21"/>
              </w:rPr>
              <w:t>属地管辖原则，设区的市负责本行政区域的</w:t>
            </w:r>
            <w:r>
              <w:rPr>
                <w:rFonts w:hint="eastAsia" w:ascii="宋体" w:hAnsi="宋体" w:eastAsia="宋体"/>
                <w:sz w:val="21"/>
                <w:szCs w:val="21"/>
              </w:rPr>
              <w:t>举报奖励工作。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17</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通办范围</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jc w:val="center"/>
        </w:trPr>
        <w:tc>
          <w:tcPr>
            <w:tcW w:w="568" w:type="dxa"/>
            <w:vMerge w:val="restart"/>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18</w:t>
            </w:r>
          </w:p>
        </w:tc>
        <w:tc>
          <w:tcPr>
            <w:tcW w:w="1418" w:type="dxa"/>
            <w:vMerge w:val="restart"/>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办结时限</w:t>
            </w:r>
          </w:p>
        </w:tc>
        <w:tc>
          <w:tcPr>
            <w:tcW w:w="1417" w:type="dxa"/>
            <w:tcMar>
              <w:top w:w="57" w:type="dxa"/>
              <w:bottom w:w="57" w:type="dxa"/>
            </w:tcMar>
            <w:vAlign w:val="center"/>
          </w:tcPr>
          <w:p>
            <w:pPr>
              <w:spacing w:after="0"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spacing w:after="0"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时限</w:t>
            </w:r>
          </w:p>
        </w:tc>
        <w:tc>
          <w:tcPr>
            <w:tcW w:w="5669" w:type="dxa"/>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vMerge w:val="continue"/>
            <w:tcMar>
              <w:top w:w="57" w:type="dxa"/>
              <w:bottom w:w="57" w:type="dxa"/>
            </w:tcMar>
            <w:vAlign w:val="center"/>
          </w:tcPr>
          <w:p>
            <w:pPr>
              <w:spacing w:after="0" w:line="400" w:lineRule="exact"/>
              <w:jc w:val="center"/>
              <w:rPr>
                <w:rFonts w:ascii="方正小标宋简体" w:eastAsia="方正小标宋简体"/>
                <w:sz w:val="28"/>
                <w:szCs w:val="28"/>
              </w:rPr>
            </w:pPr>
          </w:p>
        </w:tc>
        <w:tc>
          <w:tcPr>
            <w:tcW w:w="1418" w:type="dxa"/>
            <w:vMerge w:val="continue"/>
            <w:tcMar>
              <w:top w:w="57" w:type="dxa"/>
              <w:bottom w:w="57" w:type="dxa"/>
            </w:tcMar>
            <w:vAlign w:val="center"/>
          </w:tcPr>
          <w:p>
            <w:pPr>
              <w:spacing w:after="0" w:line="400" w:lineRule="exact"/>
              <w:jc w:val="center"/>
              <w:rPr>
                <w:rFonts w:ascii="方正小标宋简体" w:eastAsia="方正小标宋简体"/>
                <w:sz w:val="28"/>
                <w:szCs w:val="28"/>
              </w:rPr>
            </w:pPr>
          </w:p>
        </w:tc>
        <w:tc>
          <w:tcPr>
            <w:tcW w:w="1417" w:type="dxa"/>
            <w:tcMar>
              <w:top w:w="57" w:type="dxa"/>
              <w:bottom w:w="57" w:type="dxa"/>
            </w:tcMar>
            <w:vAlign w:val="center"/>
          </w:tcPr>
          <w:p>
            <w:pPr>
              <w:spacing w:after="0"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承诺办结</w:t>
            </w:r>
          </w:p>
          <w:p>
            <w:pPr>
              <w:spacing w:after="0"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时限</w:t>
            </w:r>
          </w:p>
        </w:tc>
        <w:tc>
          <w:tcPr>
            <w:tcW w:w="5669" w:type="dxa"/>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19</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实施条件</w:t>
            </w:r>
          </w:p>
        </w:tc>
        <w:tc>
          <w:tcPr>
            <w:tcW w:w="7086" w:type="dxa"/>
            <w:gridSpan w:val="2"/>
            <w:tcMar>
              <w:top w:w="57" w:type="dxa"/>
              <w:bottom w:w="57" w:type="dxa"/>
            </w:tcMar>
          </w:tcPr>
          <w:p>
            <w:pPr>
              <w:spacing w:after="0" w:line="400" w:lineRule="exact"/>
              <w:ind w:firstLine="420" w:firstLineChars="200"/>
              <w:rPr>
                <w:rFonts w:ascii="宋体" w:hAnsi="宋体" w:eastAsia="宋体"/>
                <w:kern w:val="13"/>
                <w:sz w:val="21"/>
                <w:szCs w:val="21"/>
              </w:rPr>
            </w:pPr>
            <w:r>
              <w:rPr>
                <w:rFonts w:hint="eastAsia" w:ascii="宋体" w:hAnsi="宋体" w:eastAsia="宋体"/>
                <w:sz w:val="21"/>
                <w:szCs w:val="21"/>
              </w:rPr>
              <w:t>《劳动保障监察条例》（</w:t>
            </w:r>
            <w:r>
              <w:rPr>
                <w:rFonts w:ascii="宋体" w:hAnsi="宋体" w:eastAsia="宋体"/>
                <w:sz w:val="21"/>
                <w:szCs w:val="21"/>
              </w:rPr>
              <w:t>2004</w:t>
            </w:r>
            <w:r>
              <w:rPr>
                <w:rFonts w:hint="eastAsia" w:ascii="宋体" w:hAnsi="宋体" w:eastAsia="宋体"/>
                <w:sz w:val="21"/>
                <w:szCs w:val="21"/>
              </w:rPr>
              <w:t>年</w:t>
            </w:r>
            <w:r>
              <w:rPr>
                <w:rFonts w:ascii="宋体" w:hAnsi="宋体" w:eastAsia="宋体"/>
                <w:sz w:val="21"/>
                <w:szCs w:val="21"/>
              </w:rPr>
              <w:t>11</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日中华人民共和国国务院令第</w:t>
            </w:r>
            <w:r>
              <w:rPr>
                <w:rFonts w:ascii="宋体" w:hAnsi="宋体" w:eastAsia="宋体"/>
                <w:sz w:val="21"/>
                <w:szCs w:val="21"/>
              </w:rPr>
              <w:t>423</w:t>
            </w:r>
            <w:r>
              <w:rPr>
                <w:rFonts w:hint="eastAsia" w:ascii="宋体" w:hAnsi="宋体" w:eastAsia="宋体"/>
                <w:sz w:val="21"/>
                <w:szCs w:val="21"/>
              </w:rPr>
              <w:t>号公布，自</w:t>
            </w:r>
            <w:r>
              <w:rPr>
                <w:rFonts w:ascii="宋体" w:hAnsi="宋体" w:eastAsia="宋体"/>
                <w:sz w:val="21"/>
                <w:szCs w:val="21"/>
              </w:rPr>
              <w:t>2004</w:t>
            </w:r>
            <w:r>
              <w:rPr>
                <w:rFonts w:hint="eastAsia" w:ascii="宋体" w:hAnsi="宋体" w:eastAsia="宋体"/>
                <w:sz w:val="21"/>
                <w:szCs w:val="21"/>
              </w:rPr>
              <w:t>年</w:t>
            </w:r>
            <w:r>
              <w:rPr>
                <w:rFonts w:ascii="宋体" w:hAnsi="宋体" w:eastAsia="宋体"/>
                <w:sz w:val="21"/>
                <w:szCs w:val="21"/>
              </w:rPr>
              <w:t>12</w:t>
            </w:r>
            <w:r>
              <w:rPr>
                <w:rFonts w:hint="eastAsia" w:ascii="宋体" w:hAnsi="宋体" w:eastAsia="宋体"/>
                <w:sz w:val="21"/>
                <w:szCs w:val="21"/>
              </w:rPr>
              <w:t>月</w:t>
            </w:r>
            <w:r>
              <w:rPr>
                <w:rFonts w:ascii="宋体" w:hAnsi="宋体" w:eastAsia="宋体"/>
                <w:sz w:val="21"/>
                <w:szCs w:val="21"/>
              </w:rPr>
              <w:t>1</w:t>
            </w:r>
            <w:r>
              <w:rPr>
                <w:rFonts w:hint="eastAsia" w:ascii="宋体" w:hAnsi="宋体" w:eastAsia="宋体"/>
                <w:sz w:val="21"/>
                <w:szCs w:val="21"/>
              </w:rPr>
              <w:t>日起施行）第九条</w:t>
            </w:r>
            <w:r>
              <w:rPr>
                <w:rFonts w:ascii="宋体" w:hAnsi="宋体" w:eastAsia="宋体"/>
                <w:sz w:val="21"/>
                <w:szCs w:val="21"/>
              </w:rPr>
              <w:t xml:space="preserve">  </w:t>
            </w:r>
            <w:r>
              <w:rPr>
                <w:rFonts w:hint="eastAsia" w:ascii="宋体" w:hAnsi="宋体" w:eastAsia="宋体"/>
                <w:sz w:val="21"/>
                <w:szCs w:val="21"/>
              </w:rPr>
              <w:t>任何组织或者个人对违反劳动保障法律、法规或者规章的行为，有权向劳动保障行政部门举报。劳动者认为用人单位侵犯其劳动保障合法权益的，有权向劳动保障行政部门投诉。劳动保障行政部门应当为举报人保密；对举报属实，为查处重大违反劳动保障法律、法规或者规章的行为提供主要线索和证据的举报人，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20</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申请材料</w:t>
            </w:r>
          </w:p>
        </w:tc>
        <w:tc>
          <w:tcPr>
            <w:tcW w:w="7086" w:type="dxa"/>
            <w:gridSpan w:val="2"/>
            <w:tcMar>
              <w:top w:w="57" w:type="dxa"/>
              <w:bottom w:w="57" w:type="dxa"/>
            </w:tcMar>
          </w:tcPr>
          <w:p>
            <w:pPr>
              <w:spacing w:after="0" w:line="400" w:lineRule="exact"/>
              <w:ind w:firstLine="420" w:firstLineChars="200"/>
              <w:rPr>
                <w:rFonts w:ascii="宋体" w:hAnsi="宋体" w:eastAsia="宋体"/>
                <w:sz w:val="21"/>
                <w:szCs w:val="21"/>
                <w:highlight w:val="yellow"/>
              </w:rPr>
            </w:pPr>
            <w:r>
              <w:rPr>
                <w:rFonts w:hint="eastAsia" w:ascii="宋体" w:hAnsi="宋体" w:eastAsia="宋体"/>
                <w:sz w:val="21"/>
                <w:szCs w:val="21"/>
              </w:rPr>
              <w:t>申请材料目录详见附件</w:t>
            </w:r>
            <w:r>
              <w:rPr>
                <w:rFonts w:ascii="宋体" w:hAnsi="宋体" w:eastAsia="宋体"/>
                <w:sz w:val="21"/>
                <w:szCs w:val="21"/>
              </w:rPr>
              <w:t>78-2</w:t>
            </w:r>
            <w:r>
              <w:rPr>
                <w:rFonts w:hint="eastAsia" w:ascii="宋体" w:hAnsi="宋体"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vMerge w:val="restart"/>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21</w:t>
            </w:r>
          </w:p>
        </w:tc>
        <w:tc>
          <w:tcPr>
            <w:tcW w:w="1418" w:type="dxa"/>
            <w:vMerge w:val="restart"/>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特殊环节</w:t>
            </w:r>
          </w:p>
          <w:p>
            <w:pPr>
              <w:spacing w:after="0" w:line="400" w:lineRule="exact"/>
              <w:jc w:val="center"/>
              <w:rPr>
                <w:rFonts w:ascii="方正小标宋简体" w:eastAsia="方正小标宋简体"/>
                <w:spacing w:val="-20"/>
                <w:sz w:val="28"/>
                <w:szCs w:val="28"/>
              </w:rPr>
            </w:pPr>
            <w:r>
              <w:rPr>
                <w:rFonts w:hint="eastAsia" w:ascii="方正小标宋简体" w:eastAsia="方正小标宋简体"/>
                <w:spacing w:val="-20"/>
                <w:sz w:val="28"/>
                <w:szCs w:val="28"/>
              </w:rPr>
              <w:t>（含中介服务）</w:t>
            </w:r>
          </w:p>
        </w:tc>
        <w:tc>
          <w:tcPr>
            <w:tcW w:w="1417" w:type="dxa"/>
            <w:tcMar>
              <w:top w:w="57" w:type="dxa"/>
              <w:bottom w:w="57" w:type="dxa"/>
            </w:tcMar>
            <w:vAlign w:val="center"/>
          </w:tcPr>
          <w:p>
            <w:pPr>
              <w:spacing w:after="0"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环节名称</w:t>
            </w:r>
          </w:p>
        </w:tc>
        <w:tc>
          <w:tcPr>
            <w:tcW w:w="5669" w:type="dxa"/>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vMerge w:val="continue"/>
            <w:tcMar>
              <w:top w:w="57" w:type="dxa"/>
              <w:bottom w:w="57" w:type="dxa"/>
            </w:tcMar>
            <w:vAlign w:val="center"/>
          </w:tcPr>
          <w:p>
            <w:pPr>
              <w:spacing w:after="0" w:line="400" w:lineRule="exact"/>
              <w:jc w:val="center"/>
              <w:rPr>
                <w:rFonts w:ascii="方正小标宋简体" w:eastAsia="方正小标宋简体"/>
                <w:sz w:val="28"/>
                <w:szCs w:val="28"/>
              </w:rPr>
            </w:pPr>
          </w:p>
        </w:tc>
        <w:tc>
          <w:tcPr>
            <w:tcW w:w="1418" w:type="dxa"/>
            <w:vMerge w:val="continue"/>
            <w:tcMar>
              <w:top w:w="57" w:type="dxa"/>
              <w:bottom w:w="57" w:type="dxa"/>
            </w:tcMar>
            <w:vAlign w:val="center"/>
          </w:tcPr>
          <w:p>
            <w:pPr>
              <w:spacing w:after="0" w:line="400" w:lineRule="exact"/>
              <w:jc w:val="center"/>
              <w:rPr>
                <w:rFonts w:ascii="方正小标宋简体" w:eastAsia="方正小标宋简体"/>
                <w:sz w:val="28"/>
                <w:szCs w:val="28"/>
              </w:rPr>
            </w:pPr>
          </w:p>
        </w:tc>
        <w:tc>
          <w:tcPr>
            <w:tcW w:w="1417" w:type="dxa"/>
            <w:tcMar>
              <w:top w:w="57" w:type="dxa"/>
              <w:bottom w:w="57" w:type="dxa"/>
            </w:tcMar>
            <w:vAlign w:val="center"/>
          </w:tcPr>
          <w:p>
            <w:pPr>
              <w:spacing w:after="0" w:line="400" w:lineRule="exact"/>
              <w:jc w:val="center"/>
              <w:rPr>
                <w:rFonts w:ascii="方正小标宋简体" w:hAnsi="宋体" w:eastAsia="方正小标宋简体"/>
                <w:sz w:val="28"/>
                <w:szCs w:val="28"/>
              </w:rPr>
            </w:pPr>
            <w:r>
              <w:rPr>
                <w:rFonts w:hint="eastAsia" w:ascii="方正小标宋简体" w:hAnsi="宋体" w:eastAsia="方正小标宋简体"/>
                <w:sz w:val="28"/>
                <w:szCs w:val="28"/>
              </w:rPr>
              <w:t>办结时限</w:t>
            </w:r>
          </w:p>
        </w:tc>
        <w:tc>
          <w:tcPr>
            <w:tcW w:w="5669" w:type="dxa"/>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22</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审查方式及标准</w:t>
            </w:r>
          </w:p>
        </w:tc>
        <w:tc>
          <w:tcPr>
            <w:tcW w:w="7086" w:type="dxa"/>
            <w:gridSpan w:val="2"/>
            <w:tcMar>
              <w:top w:w="57" w:type="dxa"/>
              <w:bottom w:w="57" w:type="dxa"/>
            </w:tcMa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举报人或举报组织的举报内容要属实，并报市劳动监察支队核实。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23</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办理流程</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详见附件</w:t>
            </w:r>
            <w:r>
              <w:rPr>
                <w:rFonts w:ascii="宋体" w:hAnsi="宋体" w:eastAsia="宋体"/>
                <w:sz w:val="21"/>
                <w:szCs w:val="21"/>
              </w:rPr>
              <w:t>71-1</w:t>
            </w:r>
            <w:r>
              <w:rPr>
                <w:rFonts w:hint="eastAsia" w:ascii="宋体" w:hAnsi="宋体"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24</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数量限制</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无数量限制。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25</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结果名称</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26</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结果样本</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1"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27</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办件类型</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承诺件。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28</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办理形式</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单位办理。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3"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29</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预约办理</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不可预约。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30</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物流快递</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自取。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31</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运行系统</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1"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32</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常见问题及注意事项</w:t>
            </w:r>
          </w:p>
        </w:tc>
        <w:tc>
          <w:tcPr>
            <w:tcW w:w="7086" w:type="dxa"/>
            <w:gridSpan w:val="2"/>
            <w:tcMar>
              <w:top w:w="57" w:type="dxa"/>
              <w:bottom w:w="57" w:type="dxa"/>
            </w:tcMar>
            <w:vAlign w:val="center"/>
          </w:tcPr>
          <w:p>
            <w:pPr>
              <w:tabs>
                <w:tab w:val="left" w:pos="1183"/>
              </w:tabs>
              <w:spacing w:after="0" w:line="400" w:lineRule="exact"/>
              <w:ind w:firstLine="420" w:firstLineChars="200"/>
              <w:rPr>
                <w:rFonts w:ascii="宋体" w:hAnsi="宋体" w:eastAsia="宋体"/>
                <w:sz w:val="21"/>
                <w:szCs w:val="21"/>
              </w:rPr>
            </w:pPr>
            <w:r>
              <w:rPr>
                <w:rFonts w:hint="eastAsia" w:ascii="宋体" w:hAnsi="宋体" w:eastAsia="宋体"/>
                <w:sz w:val="21"/>
                <w:szCs w:val="21"/>
              </w:rPr>
              <w:t>问：什么样的单位或个人可以获得这个奖励呢？</w:t>
            </w:r>
          </w:p>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对举报属实，为查处重大违反劳动保障法律、法规或者规章的行为提供主要线索和证据的举报人，给予奖励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33</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责任事项</w:t>
            </w:r>
          </w:p>
        </w:tc>
        <w:tc>
          <w:tcPr>
            <w:tcW w:w="7086" w:type="dxa"/>
            <w:gridSpan w:val="2"/>
            <w:tcMar>
              <w:top w:w="57" w:type="dxa"/>
              <w:bottom w:w="57" w:type="dxa"/>
            </w:tcMar>
          </w:tcPr>
          <w:p>
            <w:pPr>
              <w:spacing w:after="0" w:line="400" w:lineRule="exact"/>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前期阶段责任：收集整理对举报违反劳动保障法律、法规或者规章行为有功的组织或者个人相关材料，及时呈报处理。</w:t>
            </w:r>
          </w:p>
          <w:p>
            <w:pPr>
              <w:spacing w:after="0" w:line="400" w:lineRule="exact"/>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审查阶段责任：审查材料的真伪及作用，提出审查意见。</w:t>
            </w:r>
          </w:p>
          <w:p>
            <w:pPr>
              <w:spacing w:after="0" w:line="400" w:lineRule="exact"/>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决定阶段责任：决定是否对举报违反劳动保障法律、法规或者规章行为有功工作中做出显著成绩的组织或者个人的奖励标准和方式。</w:t>
            </w:r>
          </w:p>
          <w:p>
            <w:pPr>
              <w:spacing w:after="0" w:line="400" w:lineRule="exact"/>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执行阶段责任：兑现奖励。</w:t>
            </w:r>
          </w:p>
          <w:p>
            <w:pPr>
              <w:spacing w:after="0" w:line="400" w:lineRule="exact"/>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34</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追责情形</w:t>
            </w:r>
          </w:p>
        </w:tc>
        <w:tc>
          <w:tcPr>
            <w:tcW w:w="7086" w:type="dxa"/>
            <w:gridSpan w:val="2"/>
            <w:tcMar>
              <w:top w:w="57" w:type="dxa"/>
              <w:bottom w:w="57" w:type="dxa"/>
            </w:tcMar>
          </w:tcPr>
          <w:p>
            <w:pPr>
              <w:spacing w:after="0" w:line="400" w:lineRule="exact"/>
              <w:ind w:firstLine="420" w:firstLineChars="200"/>
              <w:rPr>
                <w:rFonts w:ascii="宋体" w:hAnsi="宋体" w:eastAsia="宋体"/>
                <w:sz w:val="21"/>
                <w:szCs w:val="21"/>
              </w:rPr>
            </w:pPr>
            <w:r>
              <w:rPr>
                <w:rFonts w:hint="eastAsia" w:ascii="宋体" w:hAnsi="宋体" w:eastAsia="宋体"/>
                <w:sz w:val="21"/>
                <w:szCs w:val="21"/>
              </w:rPr>
              <w:t>因不履行或不正确履行行政职责，有下列情形的，行政机关及其工作人员应承担相应责任：</w:t>
            </w:r>
          </w:p>
          <w:p>
            <w:pPr>
              <w:spacing w:after="0" w:line="400" w:lineRule="exact"/>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符合奖励条件而审核不通过或不符合奖励条件而违规予以审查通过的；</w:t>
            </w:r>
          </w:p>
          <w:p>
            <w:pPr>
              <w:spacing w:after="0" w:line="400" w:lineRule="exact"/>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不按程序研究决定或决定错误或显失公平的；</w:t>
            </w:r>
          </w:p>
          <w:p>
            <w:pPr>
              <w:spacing w:after="0" w:line="400" w:lineRule="exact"/>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不及时兑现奖励或收取回扣的；</w:t>
            </w:r>
          </w:p>
          <w:p>
            <w:pPr>
              <w:spacing w:after="0" w:line="400" w:lineRule="exact"/>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工作中滥用职权、徇私舞弊、玩忽职守造成不良后果的；</w:t>
            </w:r>
          </w:p>
          <w:p>
            <w:pPr>
              <w:spacing w:after="0" w:line="400" w:lineRule="exact"/>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工作中发生贪污腐败行为的；</w:t>
            </w:r>
          </w:p>
          <w:p>
            <w:pPr>
              <w:spacing w:after="0" w:line="400" w:lineRule="exact"/>
              <w:ind w:firstLine="420" w:firstLineChars="200"/>
              <w:rPr>
                <w:rFonts w:ascii="宋体" w:hAnsi="宋体" w:eastAsia="宋体"/>
                <w:sz w:val="21"/>
                <w:szCs w:val="21"/>
                <w:u w:val="single"/>
              </w:rPr>
            </w:pPr>
            <w:r>
              <w:rPr>
                <w:rFonts w:ascii="宋体" w:hAnsi="宋体" w:eastAsia="宋体"/>
                <w:sz w:val="21"/>
                <w:szCs w:val="21"/>
              </w:rPr>
              <w:t>6.</w:t>
            </w:r>
            <w:r>
              <w:rPr>
                <w:rFonts w:hint="eastAsia" w:ascii="宋体" w:hAnsi="宋体" w:eastAsia="宋体"/>
                <w:sz w:val="21"/>
                <w:szCs w:val="21"/>
              </w:rPr>
              <w:t>其他违反法律法规规章文件规定的行为。</w:t>
            </w:r>
            <w:r>
              <w:rPr>
                <w:rFonts w:ascii="宋体" w:hAnsi="宋体" w:eastAsia="宋体"/>
                <w:sz w:val="21"/>
                <w:szCs w:val="21"/>
              </w:rPr>
              <w:t>7.</w:t>
            </w:r>
            <w:r>
              <w:rPr>
                <w:rFonts w:hint="eastAsia" w:ascii="宋体" w:hAnsi="宋体" w:eastAsia="宋体"/>
                <w:sz w:val="21"/>
                <w:szCs w:val="21"/>
              </w:rPr>
              <w:t>其他违反法律法规规定的行为。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568" w:type="dxa"/>
            <w:tcMar>
              <w:top w:w="57" w:type="dxa"/>
              <w:bottom w:w="57" w:type="dxa"/>
            </w:tcMar>
            <w:vAlign w:val="center"/>
          </w:tcPr>
          <w:p>
            <w:pPr>
              <w:spacing w:after="0" w:line="400" w:lineRule="exact"/>
              <w:jc w:val="center"/>
              <w:rPr>
                <w:rFonts w:ascii="方正小标宋简体" w:eastAsia="方正小标宋简体"/>
                <w:sz w:val="28"/>
                <w:szCs w:val="28"/>
              </w:rPr>
            </w:pPr>
            <w:r>
              <w:rPr>
                <w:rFonts w:ascii="方正小标宋简体" w:eastAsia="方正小标宋简体"/>
                <w:sz w:val="28"/>
                <w:szCs w:val="28"/>
              </w:rPr>
              <w:t>35</w:t>
            </w:r>
          </w:p>
        </w:tc>
        <w:tc>
          <w:tcPr>
            <w:tcW w:w="1418" w:type="dxa"/>
            <w:tcMar>
              <w:top w:w="57" w:type="dxa"/>
              <w:bottom w:w="57" w:type="dxa"/>
            </w:tcMar>
            <w:vAlign w:val="center"/>
          </w:tcPr>
          <w:p>
            <w:pPr>
              <w:spacing w:after="0" w:line="400" w:lineRule="exact"/>
              <w:jc w:val="center"/>
              <w:rPr>
                <w:rFonts w:ascii="方正小标宋简体" w:eastAsia="方正小标宋简体"/>
                <w:sz w:val="28"/>
                <w:szCs w:val="28"/>
              </w:rPr>
            </w:pPr>
            <w:r>
              <w:rPr>
                <w:rFonts w:hint="eastAsia" w:ascii="方正小标宋简体" w:eastAsia="方正小标宋简体"/>
                <w:sz w:val="28"/>
                <w:szCs w:val="28"/>
              </w:rPr>
              <w:t>备注</w:t>
            </w:r>
          </w:p>
        </w:tc>
        <w:tc>
          <w:tcPr>
            <w:tcW w:w="7086" w:type="dxa"/>
            <w:gridSpan w:val="2"/>
            <w:tcMar>
              <w:top w:w="57" w:type="dxa"/>
              <w:bottom w:w="57" w:type="dxa"/>
            </w:tcMar>
            <w:vAlign w:val="center"/>
          </w:tcPr>
          <w:p>
            <w:pPr>
              <w:spacing w:after="0" w:line="400" w:lineRule="exact"/>
              <w:ind w:firstLine="420" w:firstLineChars="200"/>
              <w:rPr>
                <w:rFonts w:ascii="宋体" w:hAnsi="宋体" w:eastAsia="宋体"/>
                <w:sz w:val="21"/>
                <w:szCs w:val="21"/>
              </w:rPr>
            </w:pPr>
          </w:p>
        </w:tc>
      </w:tr>
    </w:tbl>
    <w:p>
      <w:pPr>
        <w:tabs>
          <w:tab w:val="left" w:pos="0"/>
        </w:tabs>
        <w:spacing w:line="590" w:lineRule="exact"/>
        <w:rPr>
          <w:rFonts w:eastAsia="Times New Roman"/>
          <w:snapToGrid w:val="0"/>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200" w:line="560" w:lineRule="exact"/>
        <w:ind w:left="0" w:leftChars="0" w:right="0" w:rightChars="0" w:firstLine="0" w:firstLineChars="0"/>
        <w:jc w:val="center"/>
        <w:textAlignment w:val="auto"/>
        <w:outlineLvl w:val="9"/>
        <w:rPr>
          <w:rFonts w:ascii="方正小标宋简体" w:hAnsi="黑体" w:eastAsia="方正小标宋简体"/>
          <w:sz w:val="44"/>
          <w:szCs w:val="44"/>
        </w:rPr>
      </w:pPr>
      <w:r>
        <w:rPr>
          <w:rFonts w:eastAsia="Times New Roman"/>
          <w:snapToGrid w:val="0"/>
          <w:color w:val="000000"/>
          <w:sz w:val="32"/>
          <w:szCs w:val="32"/>
        </w:rPr>
        <w:br w:type="page"/>
      </w:r>
      <w:r>
        <w:rPr>
          <w:rFonts w:hint="eastAsia" w:ascii="方正小标宋简体" w:hAnsi="黑体" w:eastAsia="方正小标宋简体"/>
          <w:sz w:val="44"/>
          <w:szCs w:val="44"/>
        </w:rPr>
        <w:t>廉政风险点</w:t>
      </w:r>
    </w:p>
    <w:p>
      <w:pPr>
        <w:spacing w:after="0" w:line="240" w:lineRule="exact"/>
        <w:jc w:val="center"/>
        <w:rPr>
          <w:rFonts w:ascii="方正小标宋简体" w:hAnsi="黑体" w:eastAsia="方正小标宋简体"/>
          <w:sz w:val="44"/>
          <w:szCs w:val="44"/>
        </w:rPr>
      </w:pPr>
    </w:p>
    <w:tbl>
      <w:tblPr>
        <w:tblStyle w:val="6"/>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722"/>
        <w:gridCol w:w="686"/>
        <w:gridCol w:w="2855"/>
        <w:gridCol w:w="2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1" w:hRule="atLeast"/>
          <w:jc w:val="center"/>
        </w:trPr>
        <w:tc>
          <w:tcPr>
            <w:tcW w:w="1037" w:type="dxa"/>
            <w:tcMar>
              <w:top w:w="57" w:type="dxa"/>
              <w:bottom w:w="57" w:type="dxa"/>
            </w:tcMar>
            <w:vAlign w:val="center"/>
          </w:tcPr>
          <w:p>
            <w:pPr>
              <w:keepNext w:val="0"/>
              <w:keepLines w:val="0"/>
              <w:pageBreakBefore w:val="0"/>
              <w:widowControl/>
              <w:tabs>
                <w:tab w:val="left" w:pos="1245"/>
              </w:tabs>
              <w:kinsoku/>
              <w:wordWrap/>
              <w:overflowPunct/>
              <w:topLinePunct w:val="0"/>
              <w:autoSpaceDE/>
              <w:autoSpaceDN/>
              <w:bidi w:val="0"/>
              <w:adjustRightInd w:val="0"/>
              <w:snapToGrid w:val="0"/>
              <w:spacing w:after="0" w:line="400" w:lineRule="exact"/>
              <w:ind w:left="0" w:leftChars="0" w:right="0" w:rightChars="0" w:firstLine="140" w:firstLineChars="5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风险点</w:t>
            </w:r>
          </w:p>
          <w:p>
            <w:pPr>
              <w:keepNext w:val="0"/>
              <w:keepLines w:val="0"/>
              <w:pageBreakBefore w:val="0"/>
              <w:widowControl/>
              <w:tabs>
                <w:tab w:val="left" w:pos="1245"/>
              </w:tabs>
              <w:kinsoku/>
              <w:wordWrap/>
              <w:overflowPunct/>
              <w:topLinePunct w:val="0"/>
              <w:autoSpaceDE/>
              <w:autoSpaceDN/>
              <w:bidi w:val="0"/>
              <w:adjustRightInd w:val="0"/>
              <w:snapToGrid w:val="0"/>
              <w:spacing w:after="0" w:line="400" w:lineRule="exact"/>
              <w:ind w:left="0" w:leftChars="0" w:right="0" w:rightChars="0" w:firstLine="140" w:firstLineChars="5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数量</w:t>
            </w:r>
          </w:p>
        </w:tc>
        <w:tc>
          <w:tcPr>
            <w:tcW w:w="172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表现形式</w:t>
            </w:r>
          </w:p>
        </w:tc>
        <w:tc>
          <w:tcPr>
            <w:tcW w:w="68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等级</w:t>
            </w:r>
          </w:p>
        </w:tc>
        <w:tc>
          <w:tcPr>
            <w:tcW w:w="2855"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firstLine="280" w:firstLineChars="10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防控措施</w:t>
            </w:r>
          </w:p>
        </w:tc>
        <w:tc>
          <w:tcPr>
            <w:tcW w:w="277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37" w:type="dxa"/>
            <w:vMerge w:val="restart"/>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宋体" w:hAnsi="宋体" w:eastAsia="宋体"/>
                <w:sz w:val="21"/>
                <w:szCs w:val="21"/>
              </w:rPr>
            </w:pPr>
            <w:r>
              <w:rPr>
                <w:rFonts w:ascii="宋体" w:hAnsi="宋体" w:eastAsia="宋体"/>
                <w:sz w:val="21"/>
                <w:szCs w:val="21"/>
              </w:rPr>
              <w:t>4</w:t>
            </w:r>
          </w:p>
        </w:tc>
        <w:tc>
          <w:tcPr>
            <w:tcW w:w="172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对符合条件的不予以受理，并不说明原因及依据；不能一次性告知所需材料</w:t>
            </w:r>
          </w:p>
        </w:tc>
        <w:tc>
          <w:tcPr>
            <w:tcW w:w="68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宋体" w:hAnsi="宋体" w:eastAsia="宋体"/>
                <w:sz w:val="21"/>
                <w:szCs w:val="21"/>
              </w:rPr>
            </w:pPr>
            <w:r>
              <w:rPr>
                <w:rFonts w:hint="eastAsia" w:ascii="宋体" w:hAnsi="宋体" w:eastAsia="宋体"/>
                <w:sz w:val="21"/>
                <w:szCs w:val="21"/>
              </w:rPr>
              <w:t>低</w:t>
            </w:r>
          </w:p>
        </w:tc>
        <w:tc>
          <w:tcPr>
            <w:tcW w:w="2855"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严格执行《中华人民共和国劳动合同法》《劳动保障监察条例》、《关于实施</w:t>
            </w:r>
            <w:r>
              <w:rPr>
                <w:rFonts w:ascii="宋体" w:hAnsi="宋体" w:eastAsia="宋体"/>
                <w:sz w:val="21"/>
                <w:szCs w:val="21"/>
              </w:rPr>
              <w:t>&lt;</w:t>
            </w:r>
            <w:r>
              <w:rPr>
                <w:rFonts w:hint="eastAsia" w:ascii="宋体" w:hAnsi="宋体" w:eastAsia="宋体"/>
                <w:sz w:val="21"/>
                <w:szCs w:val="21"/>
              </w:rPr>
              <w:t>劳动保障监察条例</w:t>
            </w:r>
            <w:r>
              <w:rPr>
                <w:rFonts w:ascii="宋体" w:hAnsi="宋体" w:eastAsia="宋体"/>
                <w:sz w:val="21"/>
                <w:szCs w:val="21"/>
              </w:rPr>
              <w:t>&gt;</w:t>
            </w:r>
            <w:r>
              <w:rPr>
                <w:rFonts w:hint="eastAsia" w:ascii="宋体" w:hAnsi="宋体" w:eastAsia="宋体"/>
                <w:sz w:val="21"/>
                <w:szCs w:val="21"/>
              </w:rPr>
              <w:t>若干规定》等法律法规。</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认真执行区直机关效能建设三项制度，切实履行一次性告知义务。</w:t>
            </w:r>
          </w:p>
        </w:tc>
        <w:tc>
          <w:tcPr>
            <w:tcW w:w="277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hint="eastAsia" w:ascii="宋体" w:hAnsi="宋体" w:eastAsia="宋体"/>
                <w:sz w:val="21"/>
                <w:szCs w:val="21"/>
              </w:rPr>
              <w:t>柳州市劳动保障监察支队具体承办人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00" w:hRule="atLeast"/>
          <w:jc w:val="center"/>
        </w:trPr>
        <w:tc>
          <w:tcPr>
            <w:tcW w:w="103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p>
        </w:tc>
        <w:tc>
          <w:tcPr>
            <w:tcW w:w="172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在承办过程中收受财物或其他赠品</w:t>
            </w:r>
          </w:p>
        </w:tc>
        <w:tc>
          <w:tcPr>
            <w:tcW w:w="68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宋体" w:hAnsi="宋体" w:eastAsia="宋体"/>
                <w:sz w:val="21"/>
                <w:szCs w:val="21"/>
              </w:rPr>
            </w:pPr>
            <w:r>
              <w:rPr>
                <w:rFonts w:hint="eastAsia" w:ascii="宋体" w:hAnsi="宋体" w:eastAsia="宋体"/>
                <w:sz w:val="21"/>
                <w:szCs w:val="21"/>
              </w:rPr>
              <w:t>高</w:t>
            </w:r>
          </w:p>
        </w:tc>
        <w:tc>
          <w:tcPr>
            <w:tcW w:w="2855"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遵守中央八项规定，严格执行《中国共产党纪律处分条例》等法律法规，杜绝违法违纪行为。</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加强对工作人员廉政教育。</w:t>
            </w:r>
          </w:p>
        </w:tc>
        <w:tc>
          <w:tcPr>
            <w:tcW w:w="277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hint="eastAsia" w:ascii="宋体" w:hAnsi="宋体" w:eastAsia="宋体"/>
                <w:sz w:val="21"/>
                <w:szCs w:val="21"/>
              </w:rPr>
              <w:t>柳州市劳动保障监察支队工作人员、负责人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3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p>
        </w:tc>
        <w:tc>
          <w:tcPr>
            <w:tcW w:w="172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违背民主集中制原则，违法违规决定</w:t>
            </w:r>
          </w:p>
        </w:tc>
        <w:tc>
          <w:tcPr>
            <w:tcW w:w="68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宋体" w:hAnsi="宋体" w:eastAsia="宋体"/>
                <w:sz w:val="21"/>
                <w:szCs w:val="21"/>
              </w:rPr>
            </w:pPr>
            <w:r>
              <w:rPr>
                <w:rFonts w:hint="eastAsia" w:ascii="宋体" w:hAnsi="宋体" w:eastAsia="宋体"/>
                <w:sz w:val="21"/>
                <w:szCs w:val="21"/>
              </w:rPr>
              <w:t>中</w:t>
            </w:r>
          </w:p>
        </w:tc>
        <w:tc>
          <w:tcPr>
            <w:tcW w:w="2855"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严格遵守《行政机关公务处分条例》《中国共产党纪律处分条例》等法律法规，杜绝违法违纪行为。</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加强内部监督，接受举报，确保决定的合法性。</w:t>
            </w:r>
          </w:p>
        </w:tc>
        <w:tc>
          <w:tcPr>
            <w:tcW w:w="277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hint="eastAsia" w:ascii="宋体" w:hAnsi="宋体" w:eastAsia="宋体"/>
                <w:sz w:val="21"/>
                <w:szCs w:val="21"/>
              </w:rPr>
              <w:t>柳州市劳动保障监察支队工作人员、负责人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037" w:type="dxa"/>
            <w:vMerge w:val="continue"/>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p>
        </w:tc>
        <w:tc>
          <w:tcPr>
            <w:tcW w:w="172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送达文件不及时</w:t>
            </w:r>
          </w:p>
        </w:tc>
        <w:tc>
          <w:tcPr>
            <w:tcW w:w="686"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jc w:val="center"/>
              <w:textAlignment w:val="auto"/>
              <w:outlineLvl w:val="9"/>
              <w:rPr>
                <w:rFonts w:ascii="宋体" w:hAnsi="宋体" w:eastAsia="宋体"/>
                <w:sz w:val="21"/>
                <w:szCs w:val="21"/>
              </w:rPr>
            </w:pPr>
            <w:r>
              <w:rPr>
                <w:rFonts w:hint="eastAsia" w:ascii="宋体" w:hAnsi="宋体" w:eastAsia="宋体"/>
                <w:sz w:val="21"/>
                <w:szCs w:val="21"/>
              </w:rPr>
              <w:t>低</w:t>
            </w:r>
          </w:p>
        </w:tc>
        <w:tc>
          <w:tcPr>
            <w:tcW w:w="2855"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认真执行区直机关效能建设三项制度，落实办文时限。</w:t>
            </w:r>
          </w:p>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ascii="宋体" w:hAnsi="宋体" w:eastAsia="宋体"/>
                <w:sz w:val="21"/>
                <w:szCs w:val="21"/>
              </w:rPr>
              <w:t xml:space="preserve">2. </w:t>
            </w:r>
            <w:r>
              <w:rPr>
                <w:rFonts w:hint="eastAsia" w:ascii="宋体" w:hAnsi="宋体" w:eastAsia="宋体"/>
                <w:sz w:val="21"/>
                <w:szCs w:val="21"/>
              </w:rPr>
              <w:t>加强内部监督，接受举报，依法追究相关人员责任。</w:t>
            </w:r>
          </w:p>
        </w:tc>
        <w:tc>
          <w:tcPr>
            <w:tcW w:w="2772" w:type="dxa"/>
            <w:tcMar>
              <w:top w:w="57" w:type="dxa"/>
              <w:bottom w:w="57" w:type="dxa"/>
            </w:tcMar>
            <w:vAlign w:val="center"/>
          </w:tcPr>
          <w:p>
            <w:pPr>
              <w:keepNext w:val="0"/>
              <w:keepLines w:val="0"/>
              <w:pageBreakBefore w:val="0"/>
              <w:widowControl/>
              <w:kinsoku/>
              <w:wordWrap/>
              <w:overflowPunct/>
              <w:topLinePunct w:val="0"/>
              <w:autoSpaceDE/>
              <w:autoSpaceDN/>
              <w:bidi w:val="0"/>
              <w:adjustRightInd w:val="0"/>
              <w:snapToGrid w:val="0"/>
              <w:spacing w:after="0" w:line="400" w:lineRule="exact"/>
              <w:ind w:left="0" w:leftChars="0" w:right="0" w:rightChars="0"/>
              <w:textAlignment w:val="auto"/>
              <w:outlineLvl w:val="9"/>
              <w:rPr>
                <w:rFonts w:ascii="宋体" w:hAnsi="宋体" w:eastAsia="宋体"/>
                <w:sz w:val="21"/>
                <w:szCs w:val="21"/>
              </w:rPr>
            </w:pPr>
            <w:r>
              <w:rPr>
                <w:rFonts w:hint="eastAsia" w:ascii="宋体" w:hAnsi="宋体" w:eastAsia="宋体"/>
                <w:sz w:val="21"/>
                <w:szCs w:val="21"/>
              </w:rPr>
              <w:t>柳州市劳动保障监察支队工作人员、负责人</w:t>
            </w:r>
          </w:p>
        </w:tc>
      </w:tr>
    </w:tbl>
    <w:p>
      <w:pPr>
        <w:keepNext w:val="0"/>
        <w:keepLines w:val="0"/>
        <w:pageBreakBefore w:val="0"/>
        <w:widowControl/>
        <w:kinsoku/>
        <w:wordWrap/>
        <w:overflowPunct/>
        <w:topLinePunct w:val="0"/>
        <w:autoSpaceDE/>
        <w:autoSpaceDN/>
        <w:bidi w:val="0"/>
        <w:adjustRightInd w:val="0"/>
        <w:snapToGrid w:val="0"/>
        <w:spacing w:after="0" w:line="560" w:lineRule="exact"/>
        <w:ind w:left="31680" w:right="0" w:rightChars="0" w:hanging="1760" w:hangingChars="550"/>
        <w:textAlignment w:val="auto"/>
        <w:outlineLvl w:val="9"/>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71-1.</w:t>
      </w:r>
      <w:r>
        <w:rPr>
          <w:rFonts w:hint="eastAsia" w:ascii="仿宋" w:hAnsi="仿宋" w:eastAsia="仿宋"/>
          <w:sz w:val="32"/>
          <w:szCs w:val="32"/>
        </w:rPr>
        <w:t>对举报违反劳动保障法律、法规或者规章行为有功的组织或者个人给予奖励流程图</w:t>
      </w: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firstLine="960" w:firstLineChars="300"/>
        <w:textAlignment w:val="auto"/>
        <w:outlineLvl w:val="9"/>
        <w:rPr>
          <w:rFonts w:ascii="方正书宋_GBK" w:eastAsia="方正书宋_GBK"/>
          <w:sz w:val="21"/>
          <w:szCs w:val="21"/>
        </w:rPr>
      </w:pPr>
      <w:r>
        <w:rPr>
          <w:rFonts w:ascii="仿宋" w:hAnsi="仿宋" w:eastAsia="仿宋"/>
          <w:sz w:val="32"/>
          <w:szCs w:val="32"/>
        </w:rPr>
        <w:t>71-2.</w:t>
      </w:r>
      <w:r>
        <w:rPr>
          <w:rFonts w:hint="eastAsia" w:ascii="仿宋" w:hAnsi="仿宋" w:eastAsia="仿宋"/>
          <w:sz w:val="32"/>
          <w:szCs w:val="32"/>
        </w:rPr>
        <w:t>申请材料目录</w:t>
      </w:r>
    </w:p>
    <w:p>
      <w:pPr>
        <w:keepNext w:val="0"/>
        <w:keepLines w:val="0"/>
        <w:pageBreakBefore w:val="0"/>
        <w:widowControl/>
        <w:tabs>
          <w:tab w:val="left" w:pos="0"/>
        </w:tabs>
        <w:kinsoku/>
        <w:wordWrap/>
        <w:overflowPunct/>
        <w:topLinePunct w:val="0"/>
        <w:autoSpaceDE/>
        <w:autoSpaceDN/>
        <w:bidi w:val="0"/>
        <w:adjustRightInd w:val="0"/>
        <w:snapToGrid w:val="0"/>
        <w:spacing w:after="0" w:line="560" w:lineRule="exact"/>
        <w:ind w:right="0" w:rightChars="0"/>
        <w:textAlignment w:val="auto"/>
        <w:outlineLvl w:val="9"/>
        <w:rPr>
          <w:rFonts w:eastAsia="Times New Roman"/>
          <w:snapToGrid w:val="0"/>
          <w:color w:val="000000"/>
          <w:sz w:val="32"/>
          <w:szCs w:val="32"/>
        </w:rPr>
        <w:sectPr>
          <w:footerReference r:id="rId3" w:type="default"/>
          <w:pgSz w:w="11906" w:h="16838"/>
          <w:pgMar w:top="1928" w:right="1418" w:bottom="1814" w:left="1418" w:header="851" w:footer="1474" w:gutter="0"/>
          <w:cols w:space="720" w:num="1"/>
          <w:docGrid w:type="lines" w:linePitch="408" w:charSpace="0"/>
        </w:sectPr>
      </w:pP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textAlignment w:val="auto"/>
        <w:outlineLvl w:val="9"/>
        <w:rPr>
          <w:rFonts w:ascii="黑体" w:hAnsi="黑体" w:eastAsia="黑体"/>
          <w:sz w:val="32"/>
          <w:szCs w:val="32"/>
        </w:rPr>
      </w:pPr>
      <w:r>
        <w:rPr>
          <w:rFonts w:hint="eastAsia" w:ascii="黑体" w:hAnsi="黑体" w:eastAsia="黑体"/>
          <w:sz w:val="32"/>
          <w:szCs w:val="32"/>
        </w:rPr>
        <w:t>附件</w:t>
      </w:r>
      <w:r>
        <w:rPr>
          <w:rFonts w:ascii="黑体" w:hAnsi="黑体" w:eastAsia="黑体"/>
          <w:sz w:val="32"/>
          <w:szCs w:val="32"/>
        </w:rPr>
        <w:t>71-1</w:t>
      </w:r>
    </w:p>
    <w:p>
      <w:pPr>
        <w:keepNext w:val="0"/>
        <w:keepLines w:val="0"/>
        <w:pageBreakBefore w:val="0"/>
        <w:widowControl/>
        <w:kinsoku/>
        <w:wordWrap/>
        <w:overflowPunct/>
        <w:topLinePunct w:val="0"/>
        <w:autoSpaceDE/>
        <w:autoSpaceDN/>
        <w:bidi w:val="0"/>
        <w:adjustRightInd w:val="0"/>
        <w:snapToGrid w:val="0"/>
        <w:spacing w:after="0" w:line="560" w:lineRule="exact"/>
        <w:ind w:right="0" w:rightChars="0"/>
        <w:jc w:val="center"/>
        <w:textAlignment w:val="auto"/>
        <w:outlineLvl w:val="9"/>
        <w:rPr>
          <w:rFonts w:ascii="方正小标宋简体" w:hAnsi="仿宋_GB2312" w:eastAsia="方正小标宋简体"/>
          <w:sz w:val="44"/>
          <w:szCs w:val="44"/>
        </w:rPr>
      </w:pPr>
      <w:r>
        <w:rPr>
          <w:rFonts w:hint="eastAsia" w:ascii="方正小标宋简体" w:hAnsi="仿宋_GB2312" w:eastAsia="方正小标宋简体"/>
          <w:sz w:val="44"/>
          <w:szCs w:val="44"/>
        </w:rPr>
        <w:t>对举报违反劳动保障法律、法规或者规章行为有功的组织或者个人给予奖励流程图</w:t>
      </w:r>
    </w:p>
    <w:p>
      <w:pPr>
        <w:jc w:val="center"/>
        <w:rPr>
          <w:rFonts w:ascii="方正小标宋简体" w:eastAsia="方正小标宋简体"/>
          <w:sz w:val="44"/>
          <w:szCs w:val="44"/>
        </w:rPr>
      </w:pPr>
      <w:r>
        <w:pict>
          <v:shape id="自选图形 44" o:spid="_x0000_s1026" o:spt="32" type="#_x0000_t32" style="position:absolute;left:0pt;margin-left:328.9pt;margin-top:37.2pt;height:41.75pt;width:0pt;z-index:251654144;mso-width-relative:page;mso-height-relative:page;" o:connectortype="straight" filled="f" coordsize="21600,21600">
            <v:path arrowok="t"/>
            <v:fill on="f" focussize="0,0"/>
            <v:stroke endarrow="block"/>
            <v:imagedata o:title=""/>
            <o:lock v:ext="edit"/>
          </v:shape>
        </w:pict>
      </w:r>
      <w:r>
        <w:pict>
          <v:rect id="矩形 46" o:spid="_x0000_s1027" o:spt="1" style="position:absolute;left:0pt;margin-left:223.9pt;margin-top:13.8pt;height:39pt;width:210pt;z-index:251656192;mso-width-relative:page;mso-height-relative:page;" coordsize="21600,21600">
            <v:path/>
            <v:fill focussize="0,0"/>
            <v:stroke/>
            <v:imagedata o:title=""/>
            <o:lock v:ext="edit"/>
            <v:textbox>
              <w:txbxContent>
                <w:p>
                  <w:pPr>
                    <w:spacing w:line="300" w:lineRule="exact"/>
                    <w:jc w:val="center"/>
                    <w:rPr>
                      <w:rFonts w:ascii="宋体" w:hAnsi="宋体" w:eastAsia="宋体"/>
                      <w:sz w:val="21"/>
                      <w:szCs w:val="21"/>
                    </w:rPr>
                  </w:pPr>
                  <w:r>
                    <w:rPr>
                      <w:rFonts w:hint="eastAsia" w:ascii="宋体" w:hAnsi="宋体" w:eastAsia="宋体"/>
                      <w:sz w:val="21"/>
                      <w:szCs w:val="21"/>
                    </w:rPr>
                    <w:t>举报人或组织向柳州市劳动保障监察支队递交举报材料</w:t>
                  </w:r>
                </w:p>
              </w:txbxContent>
            </v:textbox>
          </v:rect>
        </w:pict>
      </w:r>
    </w:p>
    <w:p/>
    <w:p>
      <w:r>
        <w:pict>
          <v:rect id="矩形 45" o:spid="_x0000_s1028" o:spt="1" style="position:absolute;left:0pt;margin-left:207.75pt;margin-top:17.05pt;height:39.1pt;width:242.25pt;z-index:251655168;mso-width-relative:page;mso-height-relative:page;" coordsize="21600,21600">
            <v:path/>
            <v:fill focussize="0,0"/>
            <v:stroke/>
            <v:imagedata o:title=""/>
            <o:lock v:ext="edit"/>
            <v:textbox>
              <w:txbxContent>
                <w:p>
                  <w:pPr>
                    <w:spacing w:line="300" w:lineRule="exact"/>
                    <w:jc w:val="center"/>
                    <w:rPr>
                      <w:rFonts w:ascii="宋体" w:hAnsi="宋体" w:eastAsia="宋体"/>
                      <w:sz w:val="21"/>
                      <w:szCs w:val="21"/>
                    </w:rPr>
                  </w:pPr>
                  <w:r>
                    <w:rPr>
                      <w:rFonts w:hint="eastAsia" w:ascii="宋体" w:hAnsi="宋体" w:eastAsia="宋体"/>
                      <w:sz w:val="21"/>
                      <w:szCs w:val="21"/>
                    </w:rPr>
                    <w:t>具体承办机构工作人员对举报内容进行调查</w:t>
                  </w:r>
                </w:p>
              </w:txbxContent>
            </v:textbox>
          </v:rect>
        </w:pict>
      </w:r>
    </w:p>
    <w:p/>
    <w:p>
      <w:r>
        <w:pict>
          <v:shape id="_x0000_s1029" o:spid="_x0000_s1029" o:spt="32" type="#_x0000_t32" style="position:absolute;left:0pt;margin-left:417.05pt;margin-top:9.6pt;height:98.05pt;width:0pt;z-index:251658240;mso-width-relative:page;mso-height-relative:page;" o:connectortype="straight" filled="f" coordsize="21600,21600">
            <v:path arrowok="t"/>
            <v:fill on="f" focussize="0,0"/>
            <v:stroke endarrow="block"/>
            <v:imagedata o:title=""/>
            <o:lock v:ext="edit"/>
          </v:shape>
        </w:pict>
      </w:r>
      <w:r>
        <w:pict>
          <v:shape id="自选图形 52" o:spid="_x0000_s1030" o:spt="32" type="#_x0000_t32" style="position:absolute;left:0pt;margin-left:234.05pt;margin-top:12.5pt;height:95.15pt;width:0pt;z-index:251657216;mso-width-relative:page;mso-height-relative:page;" o:connectortype="straight" filled="f" coordsize="21600,21600">
            <v:path arrowok="t"/>
            <v:fill on="f" focussize="0,0"/>
            <v:stroke endarrow="block"/>
            <v:imagedata o:title=""/>
            <o:lock v:ext="edit"/>
          </v:shape>
        </w:pict>
      </w:r>
    </w:p>
    <w:p>
      <w:r>
        <w:pict>
          <v:shape id="_x0000_s1031" o:spid="_x0000_s1031" o:spt="202" type="#_x0000_t202" style="position:absolute;left:0pt;margin-left:68.65pt;margin-top:9.35pt;height:54pt;width:155.25pt;z-index:251660288;mso-width-relative:page;mso-height-relative:page;" stroked="f" coordsize="21600,21600">
            <v:path/>
            <v:fill focussize="0,0"/>
            <v:stroke on="f" joinstyle="miter"/>
            <v:imagedata o:title=""/>
            <o:lock v:ext="edit"/>
            <v:textbox>
              <w:txbxContent>
                <w:p>
                  <w:pPr>
                    <w:spacing w:line="300" w:lineRule="exact"/>
                    <w:rPr>
                      <w:rFonts w:ascii="宋体" w:hAnsi="宋体" w:eastAsia="宋体"/>
                      <w:sz w:val="21"/>
                      <w:szCs w:val="21"/>
                    </w:rPr>
                  </w:pPr>
                  <w:r>
                    <w:rPr>
                      <w:rFonts w:hint="eastAsia" w:ascii="宋体" w:hAnsi="宋体" w:eastAsia="宋体"/>
                      <w:sz w:val="21"/>
                      <w:szCs w:val="21"/>
                    </w:rPr>
                    <w:t>内容属实，并为查处重大违反劳动保障法律、法规或者规章的行为提供主要线索和证据</w:t>
                  </w:r>
                </w:p>
              </w:txbxContent>
            </v:textbox>
          </v:shape>
        </w:pict>
      </w:r>
    </w:p>
    <w:p>
      <w:r>
        <w:pict>
          <v:shape id="_x0000_s1032" o:spid="_x0000_s1032" o:spt="202" type="#_x0000_t202" style="position:absolute;left:0pt;margin-left:429.4pt;margin-top:1.1pt;height:25.75pt;width:79.9pt;z-index:251661312;mso-width-relative:page;mso-height-relative:page;" stroked="f" coordsize="21600,21600">
            <v:path/>
            <v:fill focussize="0,0"/>
            <v:stroke on="f" joinstyle="miter"/>
            <v:imagedata o:title=""/>
            <o:lock v:ext="edit"/>
            <v:textbox>
              <w:txbxContent>
                <w:p>
                  <w:pPr>
                    <w:spacing w:line="300" w:lineRule="exact"/>
                    <w:rPr>
                      <w:rFonts w:ascii="宋体" w:hAnsi="宋体" w:eastAsia="宋体"/>
                      <w:sz w:val="21"/>
                      <w:szCs w:val="21"/>
                    </w:rPr>
                  </w:pPr>
                  <w:r>
                    <w:rPr>
                      <w:rFonts w:hint="eastAsia" w:ascii="宋体" w:hAnsi="宋体" w:eastAsia="宋体"/>
                      <w:sz w:val="21"/>
                      <w:szCs w:val="21"/>
                    </w:rPr>
                    <w:t>内容不属实</w:t>
                  </w:r>
                </w:p>
              </w:txbxContent>
            </v:textbox>
          </v:shape>
        </w:pict>
      </w:r>
    </w:p>
    <w:p/>
    <w:p>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textAlignment w:val="auto"/>
        <w:outlineLvl w:val="9"/>
        <w:rPr>
          <w:rFonts w:ascii="黑体" w:hAnsi="黑体" w:eastAsia="黑体"/>
          <w:sz w:val="32"/>
          <w:szCs w:val="32"/>
        </w:rPr>
      </w:pPr>
      <w:r>
        <w:pict>
          <v:shape id="_x0000_s1033" o:spid="_x0000_s1033" o:spt="202" type="#_x0000_t202" style="position:absolute;left:0pt;margin-left:389.3pt;margin-top:14.55pt;height:25.75pt;width:88.5pt;z-index:251659264;mso-width-relative:page;mso-height-relative:page;" coordsize="21600,21600">
            <v:path/>
            <v:fill focussize="0,0"/>
            <v:stroke joinstyle="miter"/>
            <v:imagedata o:title=""/>
            <o:lock v:ext="edit"/>
            <v:textbox>
              <w:txbxContent>
                <w:p>
                  <w:pPr>
                    <w:spacing w:line="300" w:lineRule="exact"/>
                    <w:rPr>
                      <w:rFonts w:ascii="宋体" w:hAnsi="宋体" w:eastAsia="宋体"/>
                      <w:sz w:val="21"/>
                      <w:szCs w:val="21"/>
                    </w:rPr>
                  </w:pPr>
                  <w:r>
                    <w:rPr>
                      <w:rFonts w:hint="eastAsia" w:ascii="宋体" w:hAnsi="宋体" w:eastAsia="宋体"/>
                      <w:sz w:val="21"/>
                      <w:szCs w:val="21"/>
                    </w:rPr>
                    <w:t>不给予奖励</w:t>
                  </w:r>
                </w:p>
              </w:txbxContent>
            </v:textbox>
          </v:shape>
        </w:pict>
      </w:r>
      <w:r>
        <w:pict>
          <v:shape id="文本框 59" o:spid="_x0000_s1034" o:spt="202" type="#_x0000_t202" style="position:absolute;left:0pt;margin-left:163.9pt;margin-top:14.55pt;height:25.75pt;width:136.15pt;z-index:251658240;mso-width-relative:page;mso-height-relative:page;" coordsize="21600,21600">
            <v:path/>
            <v:fill focussize="0,0"/>
            <v:stroke joinstyle="miter"/>
            <v:imagedata o:title=""/>
            <o:lock v:ext="edit"/>
            <v:textbox>
              <w:txbxContent>
                <w:p>
                  <w:pPr>
                    <w:spacing w:line="300" w:lineRule="exact"/>
                    <w:rPr>
                      <w:rFonts w:ascii="宋体" w:hAnsi="宋体" w:eastAsia="宋体"/>
                      <w:sz w:val="21"/>
                      <w:szCs w:val="21"/>
                    </w:rPr>
                  </w:pPr>
                  <w:r>
                    <w:rPr>
                      <w:rFonts w:hint="eastAsia" w:ascii="宋体" w:hAnsi="宋体" w:eastAsia="宋体"/>
                      <w:sz w:val="21"/>
                      <w:szCs w:val="21"/>
                    </w:rPr>
                    <w:t>给予举报人或组织奖励</w:t>
                  </w:r>
                </w:p>
              </w:txbxContent>
            </v:textbox>
          </v:shape>
        </w:pict>
      </w: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71-2</w:t>
      </w:r>
    </w:p>
    <w:p>
      <w:pPr>
        <w:keepNext w:val="0"/>
        <w:keepLines w:val="0"/>
        <w:pageBreakBefore w:val="0"/>
        <w:widowControl/>
        <w:kinsoku/>
        <w:wordWrap/>
        <w:overflowPunct/>
        <w:topLinePunct w:val="0"/>
        <w:autoSpaceDE/>
        <w:autoSpaceDN/>
        <w:bidi w:val="0"/>
        <w:adjustRightInd w:val="0"/>
        <w:snapToGrid w:val="0"/>
        <w:spacing w:after="0" w:line="560" w:lineRule="exact"/>
        <w:ind w:left="0" w:leftChars="0" w:right="0" w:rightChars="0" w:firstLine="0" w:firstLineChars="0"/>
        <w:jc w:val="center"/>
        <w:textAlignment w:val="auto"/>
        <w:outlineLvl w:val="9"/>
        <w:rPr>
          <w:rFonts w:ascii="方正小标宋简体" w:hAnsi="黑体" w:eastAsia="方正小标宋简体"/>
          <w:sz w:val="44"/>
          <w:szCs w:val="44"/>
        </w:rPr>
      </w:pPr>
      <w:r>
        <w:rPr>
          <w:rFonts w:hint="eastAsia" w:ascii="方正小标宋简体" w:hAnsi="黑体" w:eastAsia="方正小标宋简体"/>
          <w:sz w:val="44"/>
          <w:szCs w:val="44"/>
        </w:rPr>
        <w:t>申请材料目录</w:t>
      </w:r>
    </w:p>
    <w:p>
      <w:pPr>
        <w:spacing w:after="0" w:line="240" w:lineRule="exact"/>
        <w:jc w:val="center"/>
        <w:rPr>
          <w:rFonts w:ascii="黑体" w:hAnsi="黑体" w:eastAsia="黑体"/>
          <w:sz w:val="44"/>
          <w:szCs w:val="44"/>
        </w:rPr>
      </w:pPr>
    </w:p>
    <w:tbl>
      <w:tblPr>
        <w:tblStyle w:val="6"/>
        <w:tblW w:w="1315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503"/>
        <w:gridCol w:w="2316"/>
        <w:gridCol w:w="1715"/>
        <w:gridCol w:w="1078"/>
        <w:gridCol w:w="666"/>
        <w:gridCol w:w="778"/>
        <w:gridCol w:w="1779"/>
        <w:gridCol w:w="903"/>
        <w:gridCol w:w="1152"/>
        <w:gridCol w:w="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86" w:type="dxa"/>
            <w:tcMar>
              <w:top w:w="57" w:type="dxa"/>
              <w:bottom w:w="57" w:type="dxa"/>
            </w:tcMar>
            <w:vAlign w:val="center"/>
          </w:tcPr>
          <w:p>
            <w:pPr>
              <w:keepNext w:val="0"/>
              <w:keepLines w:val="0"/>
              <w:pageBreakBefore w:val="0"/>
              <w:widowControl/>
              <w:kinsoku/>
              <w:wordWrap/>
              <w:overflowPunct/>
              <w:topLinePunct w:val="0"/>
              <w:autoSpaceDE w:val="0"/>
              <w:autoSpaceDN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bCs/>
                <w:sz w:val="28"/>
                <w:szCs w:val="28"/>
              </w:rPr>
            </w:pPr>
            <w:r>
              <w:rPr>
                <w:rFonts w:hint="eastAsia" w:ascii="黑体" w:hAnsi="黑体" w:eastAsia="黑体" w:cs="黑体"/>
                <w:bCs/>
                <w:sz w:val="28"/>
                <w:szCs w:val="28"/>
              </w:rPr>
              <w:t>序号</w:t>
            </w:r>
          </w:p>
        </w:tc>
        <w:tc>
          <w:tcPr>
            <w:tcW w:w="1503" w:type="dxa"/>
            <w:tcMar>
              <w:top w:w="57" w:type="dxa"/>
              <w:bottom w:w="57" w:type="dxa"/>
            </w:tcMar>
            <w:vAlign w:val="center"/>
          </w:tcPr>
          <w:p>
            <w:pPr>
              <w:keepNext w:val="0"/>
              <w:keepLines w:val="0"/>
              <w:pageBreakBefore w:val="0"/>
              <w:widowControl/>
              <w:kinsoku/>
              <w:wordWrap/>
              <w:overflowPunct/>
              <w:topLinePunct w:val="0"/>
              <w:autoSpaceDE w:val="0"/>
              <w:autoSpaceDN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bCs/>
                <w:sz w:val="28"/>
                <w:szCs w:val="28"/>
              </w:rPr>
            </w:pPr>
            <w:r>
              <w:rPr>
                <w:rFonts w:hint="eastAsia" w:ascii="黑体" w:hAnsi="黑体" w:eastAsia="黑体" w:cs="黑体"/>
                <w:bCs/>
                <w:sz w:val="28"/>
                <w:szCs w:val="28"/>
              </w:rPr>
              <w:t>申请材料名称</w:t>
            </w:r>
          </w:p>
        </w:tc>
        <w:tc>
          <w:tcPr>
            <w:tcW w:w="2316" w:type="dxa"/>
            <w:tcMar>
              <w:top w:w="57" w:type="dxa"/>
              <w:bottom w:w="57" w:type="dxa"/>
            </w:tcMar>
            <w:vAlign w:val="center"/>
          </w:tcPr>
          <w:p>
            <w:pPr>
              <w:keepNext w:val="0"/>
              <w:keepLines w:val="0"/>
              <w:pageBreakBefore w:val="0"/>
              <w:widowControl/>
              <w:kinsoku/>
              <w:wordWrap/>
              <w:overflowPunct/>
              <w:topLinePunct w:val="0"/>
              <w:autoSpaceDE w:val="0"/>
              <w:autoSpaceDN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bCs/>
                <w:sz w:val="28"/>
                <w:szCs w:val="28"/>
              </w:rPr>
            </w:pPr>
            <w:r>
              <w:rPr>
                <w:rFonts w:hint="eastAsia" w:ascii="黑体" w:hAnsi="黑体" w:eastAsia="黑体" w:cs="黑体"/>
                <w:bCs/>
                <w:sz w:val="28"/>
                <w:szCs w:val="28"/>
              </w:rPr>
              <w:t>申请材料依据</w:t>
            </w:r>
          </w:p>
        </w:tc>
        <w:tc>
          <w:tcPr>
            <w:tcW w:w="1715" w:type="dxa"/>
            <w:tcMar>
              <w:top w:w="57" w:type="dxa"/>
              <w:bottom w:w="57" w:type="dxa"/>
            </w:tcMar>
            <w:vAlign w:val="center"/>
          </w:tcPr>
          <w:p>
            <w:pPr>
              <w:keepNext w:val="0"/>
              <w:keepLines w:val="0"/>
              <w:pageBreakBefore w:val="0"/>
              <w:widowControl/>
              <w:kinsoku/>
              <w:wordWrap/>
              <w:overflowPunct/>
              <w:topLinePunct w:val="0"/>
              <w:autoSpaceDE w:val="0"/>
              <w:autoSpaceDN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bCs/>
                <w:sz w:val="28"/>
                <w:szCs w:val="28"/>
              </w:rPr>
            </w:pPr>
            <w:r>
              <w:rPr>
                <w:rFonts w:hint="eastAsia" w:ascii="黑体" w:hAnsi="黑体" w:eastAsia="黑体" w:cs="黑体"/>
                <w:bCs/>
                <w:sz w:val="28"/>
                <w:szCs w:val="28"/>
              </w:rPr>
              <w:t>材料类型</w:t>
            </w:r>
            <w:r>
              <w:rPr>
                <w:rFonts w:hint="eastAsia" w:ascii="黑体" w:hAnsi="黑体" w:eastAsia="黑体" w:cs="黑体"/>
                <w:bCs/>
                <w:sz w:val="28"/>
                <w:szCs w:val="28"/>
              </w:rPr>
              <w:br w:type="textWrapping"/>
            </w:r>
            <w:r>
              <w:rPr>
                <w:rFonts w:hint="eastAsia" w:ascii="黑体" w:hAnsi="黑体" w:eastAsia="黑体" w:cs="黑体"/>
                <w:bCs/>
                <w:sz w:val="28"/>
                <w:szCs w:val="28"/>
              </w:rPr>
              <w:t>（原件/复印件）</w:t>
            </w:r>
          </w:p>
        </w:tc>
        <w:tc>
          <w:tcPr>
            <w:tcW w:w="1078" w:type="dxa"/>
            <w:tcMar>
              <w:top w:w="57" w:type="dxa"/>
              <w:bottom w:w="57" w:type="dxa"/>
            </w:tcMar>
            <w:vAlign w:val="center"/>
          </w:tcPr>
          <w:p>
            <w:pPr>
              <w:keepNext w:val="0"/>
              <w:keepLines w:val="0"/>
              <w:pageBreakBefore w:val="0"/>
              <w:widowControl/>
              <w:kinsoku/>
              <w:wordWrap/>
              <w:overflowPunct/>
              <w:topLinePunct w:val="0"/>
              <w:autoSpaceDE w:val="0"/>
              <w:autoSpaceDN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bCs/>
                <w:sz w:val="28"/>
                <w:szCs w:val="28"/>
              </w:rPr>
            </w:pPr>
            <w:r>
              <w:rPr>
                <w:rFonts w:hint="eastAsia" w:ascii="黑体" w:hAnsi="黑体" w:eastAsia="黑体" w:cs="黑体"/>
                <w:bCs/>
                <w:sz w:val="28"/>
                <w:szCs w:val="28"/>
              </w:rPr>
              <w:t>是否需</w:t>
            </w:r>
          </w:p>
          <w:p>
            <w:pPr>
              <w:keepNext w:val="0"/>
              <w:keepLines w:val="0"/>
              <w:pageBreakBefore w:val="0"/>
              <w:widowControl/>
              <w:kinsoku/>
              <w:wordWrap/>
              <w:overflowPunct/>
              <w:topLinePunct w:val="0"/>
              <w:autoSpaceDE w:val="0"/>
              <w:autoSpaceDN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bCs/>
                <w:sz w:val="28"/>
                <w:szCs w:val="28"/>
              </w:rPr>
            </w:pPr>
            <w:r>
              <w:rPr>
                <w:rFonts w:hint="eastAsia" w:ascii="黑体" w:hAnsi="黑体" w:eastAsia="黑体" w:cs="黑体"/>
                <w:bCs/>
                <w:sz w:val="28"/>
                <w:szCs w:val="28"/>
              </w:rPr>
              <w:t>电子材料</w:t>
            </w:r>
          </w:p>
        </w:tc>
        <w:tc>
          <w:tcPr>
            <w:tcW w:w="666" w:type="dxa"/>
            <w:tcMar>
              <w:top w:w="57" w:type="dxa"/>
              <w:bottom w:w="57" w:type="dxa"/>
            </w:tcMar>
            <w:vAlign w:val="center"/>
          </w:tcPr>
          <w:p>
            <w:pPr>
              <w:keepNext w:val="0"/>
              <w:keepLines w:val="0"/>
              <w:pageBreakBefore w:val="0"/>
              <w:widowControl/>
              <w:kinsoku/>
              <w:wordWrap/>
              <w:overflowPunct/>
              <w:topLinePunct w:val="0"/>
              <w:autoSpaceDE w:val="0"/>
              <w:autoSpaceDN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bCs/>
                <w:sz w:val="28"/>
                <w:szCs w:val="28"/>
              </w:rPr>
            </w:pPr>
            <w:r>
              <w:rPr>
                <w:rFonts w:hint="eastAsia" w:ascii="黑体" w:hAnsi="黑体" w:eastAsia="黑体" w:cs="黑体"/>
                <w:bCs/>
                <w:sz w:val="28"/>
                <w:szCs w:val="28"/>
              </w:rPr>
              <w:t>份数</w:t>
            </w:r>
          </w:p>
        </w:tc>
        <w:tc>
          <w:tcPr>
            <w:tcW w:w="778" w:type="dxa"/>
            <w:tcMar>
              <w:top w:w="57" w:type="dxa"/>
              <w:bottom w:w="57" w:type="dxa"/>
            </w:tcMar>
            <w:vAlign w:val="center"/>
          </w:tcPr>
          <w:p>
            <w:pPr>
              <w:keepNext w:val="0"/>
              <w:keepLines w:val="0"/>
              <w:pageBreakBefore w:val="0"/>
              <w:widowControl/>
              <w:kinsoku/>
              <w:wordWrap/>
              <w:overflowPunct/>
              <w:topLinePunct w:val="0"/>
              <w:autoSpaceDE w:val="0"/>
              <w:autoSpaceDN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bCs/>
                <w:sz w:val="28"/>
                <w:szCs w:val="28"/>
              </w:rPr>
            </w:pPr>
            <w:r>
              <w:rPr>
                <w:rFonts w:hint="eastAsia" w:ascii="黑体" w:hAnsi="黑体" w:eastAsia="黑体" w:cs="黑体"/>
                <w:bCs/>
                <w:sz w:val="28"/>
                <w:szCs w:val="28"/>
              </w:rPr>
              <w:t>规格</w:t>
            </w:r>
          </w:p>
        </w:tc>
        <w:tc>
          <w:tcPr>
            <w:tcW w:w="1779" w:type="dxa"/>
            <w:tcMar>
              <w:top w:w="57" w:type="dxa"/>
              <w:bottom w:w="57" w:type="dxa"/>
            </w:tcMar>
            <w:vAlign w:val="center"/>
          </w:tcPr>
          <w:p>
            <w:pPr>
              <w:keepNext w:val="0"/>
              <w:keepLines w:val="0"/>
              <w:pageBreakBefore w:val="0"/>
              <w:widowControl/>
              <w:kinsoku/>
              <w:wordWrap/>
              <w:overflowPunct/>
              <w:topLinePunct w:val="0"/>
              <w:autoSpaceDE w:val="0"/>
              <w:autoSpaceDN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bCs/>
                <w:sz w:val="28"/>
                <w:szCs w:val="28"/>
              </w:rPr>
            </w:pPr>
            <w:r>
              <w:rPr>
                <w:rFonts w:hint="eastAsia" w:ascii="黑体" w:hAnsi="黑体" w:eastAsia="黑体" w:cs="黑体"/>
                <w:bCs/>
                <w:sz w:val="28"/>
                <w:szCs w:val="28"/>
              </w:rPr>
              <w:t>必要性及描述</w:t>
            </w:r>
          </w:p>
        </w:tc>
        <w:tc>
          <w:tcPr>
            <w:tcW w:w="903"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sz w:val="28"/>
                <w:szCs w:val="28"/>
              </w:rPr>
            </w:pPr>
            <w:r>
              <w:rPr>
                <w:rFonts w:hint="eastAsia" w:ascii="黑体" w:hAnsi="黑体" w:eastAsia="黑体" w:cs="黑体"/>
                <w:sz w:val="28"/>
                <w:szCs w:val="28"/>
              </w:rPr>
              <w:t>来源</w:t>
            </w:r>
            <w:r>
              <w:rPr>
                <w:rFonts w:hint="eastAsia" w:ascii="黑体" w:hAnsi="黑体" w:eastAsia="黑体" w:cs="黑体"/>
                <w:sz w:val="28"/>
                <w:szCs w:val="28"/>
              </w:rPr>
              <w:br w:type="textWrapping"/>
            </w:r>
            <w:r>
              <w:rPr>
                <w:rFonts w:hint="eastAsia" w:ascii="黑体" w:hAnsi="黑体" w:eastAsia="黑体" w:cs="黑体"/>
                <w:sz w:val="28"/>
                <w:szCs w:val="28"/>
              </w:rPr>
              <w:t>渠道</w:t>
            </w:r>
          </w:p>
        </w:tc>
        <w:tc>
          <w:tcPr>
            <w:tcW w:w="1152"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sz w:val="28"/>
                <w:szCs w:val="28"/>
              </w:rPr>
            </w:pPr>
            <w:r>
              <w:rPr>
                <w:rFonts w:hint="eastAsia" w:ascii="黑体" w:hAnsi="黑体" w:eastAsia="黑体" w:cs="黑体"/>
                <w:sz w:val="28"/>
                <w:szCs w:val="28"/>
              </w:rPr>
              <w:t>签名签章要求</w:t>
            </w:r>
          </w:p>
        </w:tc>
        <w:tc>
          <w:tcPr>
            <w:tcW w:w="778"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hint="eastAsia" w:ascii="黑体" w:hAnsi="黑体" w:eastAsia="黑体" w:cs="黑体"/>
                <w:sz w:val="28"/>
                <w:szCs w:val="28"/>
              </w:rPr>
            </w:pPr>
            <w:r>
              <w:rPr>
                <w:rFonts w:hint="eastAsia" w:ascii="黑体" w:hAnsi="黑体" w:eastAsia="黑体" w:cs="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86"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ascii="宋体" w:hAnsi="宋体" w:eastAsia="宋体"/>
                <w:sz w:val="21"/>
                <w:szCs w:val="21"/>
              </w:rPr>
              <w:t>1</w:t>
            </w:r>
          </w:p>
        </w:tc>
        <w:tc>
          <w:tcPr>
            <w:tcW w:w="1503"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hint="eastAsia" w:ascii="宋体" w:hAnsi="宋体" w:eastAsia="宋体"/>
                <w:sz w:val="21"/>
                <w:szCs w:val="21"/>
              </w:rPr>
              <w:t>举报材料、证据</w:t>
            </w:r>
          </w:p>
        </w:tc>
        <w:tc>
          <w:tcPr>
            <w:tcW w:w="2316"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textAlignment w:val="auto"/>
              <w:outlineLvl w:val="9"/>
              <w:rPr>
                <w:rFonts w:ascii="宋体" w:hAnsi="宋体" w:eastAsia="宋体"/>
                <w:sz w:val="21"/>
                <w:szCs w:val="21"/>
              </w:rPr>
            </w:pPr>
            <w:r>
              <w:rPr>
                <w:rFonts w:hint="eastAsia" w:ascii="宋体" w:hAnsi="宋体" w:eastAsia="宋体"/>
                <w:sz w:val="21"/>
                <w:szCs w:val="21"/>
              </w:rPr>
              <w:t>《劳动保障监察条例》第九条</w:t>
            </w:r>
          </w:p>
        </w:tc>
        <w:tc>
          <w:tcPr>
            <w:tcW w:w="1715"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hint="eastAsia" w:ascii="宋体" w:hAnsi="宋体" w:eastAsia="宋体"/>
                <w:sz w:val="21"/>
                <w:szCs w:val="21"/>
              </w:rPr>
              <w:t>原件</w:t>
            </w:r>
          </w:p>
        </w:tc>
        <w:tc>
          <w:tcPr>
            <w:tcW w:w="1078"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hint="eastAsia" w:ascii="宋体" w:hAnsi="宋体" w:eastAsia="宋体"/>
                <w:sz w:val="21"/>
                <w:szCs w:val="21"/>
              </w:rPr>
              <w:t>否</w:t>
            </w:r>
          </w:p>
        </w:tc>
        <w:tc>
          <w:tcPr>
            <w:tcW w:w="666"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份</w:t>
            </w:r>
          </w:p>
        </w:tc>
        <w:tc>
          <w:tcPr>
            <w:tcW w:w="778"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ascii="宋体" w:hAnsi="宋体" w:eastAsia="宋体"/>
                <w:sz w:val="21"/>
                <w:szCs w:val="21"/>
              </w:rPr>
              <w:t>A4</w:t>
            </w:r>
            <w:r>
              <w:rPr>
                <w:rFonts w:hint="eastAsia" w:ascii="宋体" w:hAnsi="宋体" w:eastAsia="宋体"/>
                <w:sz w:val="21"/>
                <w:szCs w:val="21"/>
              </w:rPr>
              <w:t>纸</w:t>
            </w:r>
          </w:p>
        </w:tc>
        <w:tc>
          <w:tcPr>
            <w:tcW w:w="1779"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hint="eastAsia" w:ascii="宋体" w:hAnsi="宋体" w:eastAsia="宋体"/>
                <w:sz w:val="21"/>
                <w:szCs w:val="21"/>
              </w:rPr>
              <w:t>必要</w:t>
            </w:r>
          </w:p>
        </w:tc>
        <w:tc>
          <w:tcPr>
            <w:tcW w:w="903"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hint="eastAsia" w:ascii="宋体" w:hAnsi="宋体" w:eastAsia="宋体"/>
                <w:sz w:val="21"/>
                <w:szCs w:val="21"/>
              </w:rPr>
              <w:t>申请人</w:t>
            </w:r>
          </w:p>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hint="eastAsia" w:ascii="宋体" w:hAnsi="宋体" w:eastAsia="宋体"/>
                <w:sz w:val="21"/>
                <w:szCs w:val="21"/>
              </w:rPr>
              <w:t>自备</w:t>
            </w:r>
          </w:p>
        </w:tc>
        <w:tc>
          <w:tcPr>
            <w:tcW w:w="1152" w:type="dxa"/>
            <w:tcMar>
              <w:top w:w="57" w:type="dxa"/>
              <w:bottom w:w="57" w:type="dxa"/>
            </w:tcMar>
            <w:vAlign w:val="cente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r>
              <w:rPr>
                <w:rFonts w:hint="eastAsia" w:ascii="宋体" w:hAnsi="宋体" w:eastAsia="宋体"/>
                <w:sz w:val="21"/>
                <w:szCs w:val="21"/>
              </w:rPr>
              <w:t>个人签字或单位公章</w:t>
            </w:r>
          </w:p>
        </w:tc>
        <w:tc>
          <w:tcPr>
            <w:tcW w:w="778" w:type="dxa"/>
            <w:tcMar>
              <w:top w:w="57" w:type="dxa"/>
              <w:bottom w:w="57" w:type="dxa"/>
            </w:tcMar>
          </w:tcPr>
          <w:p>
            <w:pPr>
              <w:keepNext w:val="0"/>
              <w:keepLines w:val="0"/>
              <w:pageBreakBefore w:val="0"/>
              <w:widowControl/>
              <w:kinsoku/>
              <w:wordWrap/>
              <w:overflowPunct/>
              <w:topLinePunct w:val="0"/>
              <w:bidi w:val="0"/>
              <w:adjustRightInd w:val="0"/>
              <w:snapToGrid w:val="0"/>
              <w:spacing w:after="0" w:line="400" w:lineRule="exact"/>
              <w:ind w:left="0" w:leftChars="0" w:right="0" w:rightChars="0" w:firstLine="0" w:firstLineChars="0"/>
              <w:jc w:val="center"/>
              <w:textAlignment w:val="auto"/>
              <w:outlineLvl w:val="9"/>
              <w:rPr>
                <w:rFonts w:ascii="宋体" w:hAnsi="宋体" w:eastAsia="宋体"/>
                <w:sz w:val="21"/>
                <w:szCs w:val="21"/>
              </w:rPr>
            </w:pPr>
          </w:p>
        </w:tc>
      </w:tr>
    </w:tbl>
    <w:p>
      <w:pPr>
        <w:spacing w:line="300" w:lineRule="exact"/>
        <w:rPr>
          <w:rFonts w:ascii="方正书宋_GBK" w:hAnsi="黑体" w:eastAsia="方正书宋_GBK"/>
          <w:sz w:val="21"/>
          <w:szCs w:val="21"/>
        </w:rPr>
      </w:pPr>
    </w:p>
    <w:p>
      <w:pPr>
        <w:spacing w:line="220" w:lineRule="atLeast"/>
      </w:pPr>
      <w:bookmarkStart w:id="0" w:name="_GoBack"/>
      <w:bookmarkEnd w:id="0"/>
    </w:p>
    <w:sectPr>
      <w:footerReference r:id="rId4" w:type="default"/>
      <w:pgSz w:w="16838" w:h="11906" w:orient="landscape"/>
      <w:pgMar w:top="1800" w:right="1440" w:bottom="180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altName w:val="Arial Unicode MS"/>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方正书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_GBK">
    <w:altName w:val="Times New Roman"/>
    <w:panose1 w:val="00000000000000000000"/>
    <w:charset w:val="00"/>
    <w:family w:val="auto"/>
    <w:pitch w:val="default"/>
    <w:sig w:usb0="00000000" w:usb1="00000000" w:usb2="00000000" w:usb3="00000000" w:csb0="00000001" w:csb1="00000000"/>
  </w:font>
  <w:font w:name="方正黑体_GBK">
    <w:altName w:val="Arial Unicode MS"/>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ind w:left="220" w:leftChars="100" w:right="220" w:rightChars="100"/>
      <w:jc w:val="both"/>
      <w:rPr>
        <w:rStyle w:val="5"/>
        <w:rFonts w:eastAsia="Times New Roman"/>
        <w:sz w:val="28"/>
        <w:szCs w:val="28"/>
      </w:rPr>
    </w:pPr>
    <w:r>
      <w:rPr>
        <w:rStyle w:val="5"/>
        <w:rFonts w:eastAsia="Times New Roman"/>
        <w:sz w:val="28"/>
        <w:szCs w:val="28"/>
      </w:rPr>
      <w:t>—</w:t>
    </w:r>
    <w:r>
      <w:rPr>
        <w:rStyle w:val="5"/>
        <w:rFonts w:eastAsia="Times New Roman"/>
        <w:spacing w:val="-20"/>
        <w:sz w:val="28"/>
        <w:szCs w:val="28"/>
      </w:rPr>
      <w:t xml:space="preserve"> </w:t>
    </w:r>
    <w:r>
      <w:rPr>
        <w:rStyle w:val="5"/>
        <w:rFonts w:eastAsia="Times New Roman"/>
        <w:sz w:val="28"/>
        <w:szCs w:val="28"/>
      </w:rPr>
      <w:fldChar w:fldCharType="begin"/>
    </w:r>
    <w:r>
      <w:rPr>
        <w:rStyle w:val="5"/>
        <w:rFonts w:eastAsia="Times New Roman"/>
        <w:sz w:val="28"/>
        <w:szCs w:val="28"/>
      </w:rPr>
      <w:instrText xml:space="preserve">PAGE  </w:instrText>
    </w:r>
    <w:r>
      <w:rPr>
        <w:rStyle w:val="5"/>
        <w:rFonts w:eastAsia="Times New Roman"/>
        <w:sz w:val="28"/>
        <w:szCs w:val="28"/>
      </w:rPr>
      <w:fldChar w:fldCharType="separate"/>
    </w:r>
    <w:r>
      <w:rPr>
        <w:rStyle w:val="5"/>
        <w:rFonts w:eastAsia="Times New Roman"/>
        <w:sz w:val="28"/>
        <w:szCs w:val="28"/>
      </w:rPr>
      <w:t>3</w:t>
    </w:r>
    <w:r>
      <w:rPr>
        <w:rStyle w:val="5"/>
        <w:rFonts w:eastAsia="Times New Roman"/>
        <w:sz w:val="28"/>
        <w:szCs w:val="28"/>
      </w:rPr>
      <w:fldChar w:fldCharType="end"/>
    </w:r>
    <w:r>
      <w:rPr>
        <w:rStyle w:val="5"/>
        <w:rFonts w:eastAsia="Times New Roman"/>
        <w:spacing w:val="-20"/>
        <w:sz w:val="28"/>
        <w:szCs w:val="28"/>
      </w:rPr>
      <w:t xml:space="preserve"> </w:t>
    </w:r>
    <w:r>
      <w:rPr>
        <w:rStyle w:val="5"/>
        <w:rFonts w:eastAsia="Times New Roman"/>
        <w:sz w:val="28"/>
        <w:szCs w:val="28"/>
      </w:rPr>
      <w:t>—</w:t>
    </w:r>
  </w:p>
  <w:p>
    <w:pPr>
      <w:pStyle w:val="2"/>
      <w:ind w:right="360" w:firstLine="360"/>
      <w:rPr>
        <w:rFonts w:eastAsia="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hSpace="119" w:wrap="notBeside" w:vAnchor="margin" w:hAnchor="page" w:yAlign="outside"/>
      <w:ind w:left="220" w:leftChars="100" w:right="220" w:rightChars="100"/>
      <w:jc w:val="both"/>
      <w:rPr>
        <w:rStyle w:val="5"/>
        <w:rFonts w:eastAsia="Times New Roman"/>
        <w:sz w:val="28"/>
        <w:szCs w:val="28"/>
      </w:rPr>
    </w:pPr>
    <w:r>
      <w:rPr>
        <w:rStyle w:val="5"/>
        <w:rFonts w:eastAsia="Times New Roman"/>
        <w:sz w:val="28"/>
        <w:szCs w:val="28"/>
      </w:rPr>
      <w:t>—</w:t>
    </w:r>
    <w:r>
      <w:rPr>
        <w:rStyle w:val="5"/>
        <w:rFonts w:eastAsia="Times New Roman"/>
        <w:spacing w:val="-20"/>
        <w:sz w:val="28"/>
        <w:szCs w:val="28"/>
      </w:rPr>
      <w:t xml:space="preserve"> </w:t>
    </w:r>
    <w:r>
      <w:rPr>
        <w:rStyle w:val="5"/>
        <w:rFonts w:eastAsia="Times New Roman"/>
        <w:sz w:val="28"/>
        <w:szCs w:val="28"/>
      </w:rPr>
      <w:fldChar w:fldCharType="begin"/>
    </w:r>
    <w:r>
      <w:rPr>
        <w:rStyle w:val="5"/>
        <w:rFonts w:eastAsia="Times New Roman"/>
        <w:sz w:val="28"/>
        <w:szCs w:val="28"/>
      </w:rPr>
      <w:instrText xml:space="preserve">PAGE  </w:instrText>
    </w:r>
    <w:r>
      <w:rPr>
        <w:rStyle w:val="5"/>
        <w:rFonts w:eastAsia="Times New Roman"/>
        <w:sz w:val="28"/>
        <w:szCs w:val="28"/>
      </w:rPr>
      <w:fldChar w:fldCharType="separate"/>
    </w:r>
    <w:r>
      <w:rPr>
        <w:rStyle w:val="5"/>
        <w:rFonts w:eastAsia="Times New Roman"/>
        <w:sz w:val="28"/>
        <w:szCs w:val="28"/>
      </w:rPr>
      <w:t>9</w:t>
    </w:r>
    <w:r>
      <w:rPr>
        <w:rStyle w:val="5"/>
        <w:rFonts w:eastAsia="Times New Roman"/>
        <w:sz w:val="28"/>
        <w:szCs w:val="28"/>
      </w:rPr>
      <w:fldChar w:fldCharType="end"/>
    </w:r>
    <w:r>
      <w:rPr>
        <w:rStyle w:val="5"/>
        <w:rFonts w:eastAsia="Times New Roman"/>
        <w:spacing w:val="-20"/>
        <w:sz w:val="28"/>
        <w:szCs w:val="28"/>
      </w:rPr>
      <w:t xml:space="preserve"> </w:t>
    </w:r>
    <w:r>
      <w:rPr>
        <w:rStyle w:val="5"/>
        <w:rFonts w:eastAsia="Times New Roman"/>
        <w:sz w:val="28"/>
        <w:szCs w:val="28"/>
      </w:rPr>
      <w:t>—</w:t>
    </w:r>
  </w:p>
  <w:p>
    <w:pPr>
      <w:pStyle w:val="2"/>
      <w:ind w:right="360" w:firstLine="360"/>
      <w:rPr>
        <w:rFonts w:eastAsia="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noLineBreaksAfter w:lang="zh-CN" w:val="$([{£¥·‘“〈《「『【〔〖〝﹙﹛﹝＄（．［｛￡￥"/>
  <w:noLineBreaksBefore w:lang="zh-CN" w:val="!%),.:;&gt;?]}¢¨°·ˇˉ―‖’”…‰′″›℃∶、。〃〉》」』】〕〗〞︶︺︾﹀﹄﹚﹜﹞！＂％＇），．：；？］｀｜｝～￠"/>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001081"/>
    <w:rsid w:val="00015158"/>
    <w:rsid w:val="000203D2"/>
    <w:rsid w:val="00090B4E"/>
    <w:rsid w:val="000A6C54"/>
    <w:rsid w:val="000B53CB"/>
    <w:rsid w:val="000D2872"/>
    <w:rsid w:val="000E1606"/>
    <w:rsid w:val="000E16EF"/>
    <w:rsid w:val="0012192B"/>
    <w:rsid w:val="001404EE"/>
    <w:rsid w:val="00195C11"/>
    <w:rsid w:val="001B7FAE"/>
    <w:rsid w:val="001D51D7"/>
    <w:rsid w:val="001E1F65"/>
    <w:rsid w:val="00204C1B"/>
    <w:rsid w:val="0021209F"/>
    <w:rsid w:val="00213557"/>
    <w:rsid w:val="00251D26"/>
    <w:rsid w:val="00253F0C"/>
    <w:rsid w:val="0027465A"/>
    <w:rsid w:val="002D4264"/>
    <w:rsid w:val="0030101E"/>
    <w:rsid w:val="00304A77"/>
    <w:rsid w:val="003149D9"/>
    <w:rsid w:val="00323B43"/>
    <w:rsid w:val="003256C5"/>
    <w:rsid w:val="00367342"/>
    <w:rsid w:val="00373EDA"/>
    <w:rsid w:val="00387FFE"/>
    <w:rsid w:val="003B3C1D"/>
    <w:rsid w:val="003D37D8"/>
    <w:rsid w:val="003D5266"/>
    <w:rsid w:val="0041233E"/>
    <w:rsid w:val="00426133"/>
    <w:rsid w:val="004261CA"/>
    <w:rsid w:val="004358AB"/>
    <w:rsid w:val="00442446"/>
    <w:rsid w:val="00493F55"/>
    <w:rsid w:val="00497EB2"/>
    <w:rsid w:val="004B0C44"/>
    <w:rsid w:val="004B7091"/>
    <w:rsid w:val="00525D5B"/>
    <w:rsid w:val="0054042D"/>
    <w:rsid w:val="005621C6"/>
    <w:rsid w:val="00571AD9"/>
    <w:rsid w:val="005835F4"/>
    <w:rsid w:val="00596AB4"/>
    <w:rsid w:val="005A03A5"/>
    <w:rsid w:val="005A51A3"/>
    <w:rsid w:val="005B2180"/>
    <w:rsid w:val="005C530E"/>
    <w:rsid w:val="005E361F"/>
    <w:rsid w:val="005F3F86"/>
    <w:rsid w:val="00626784"/>
    <w:rsid w:val="00642FEB"/>
    <w:rsid w:val="00643C4B"/>
    <w:rsid w:val="0065438A"/>
    <w:rsid w:val="00660ECD"/>
    <w:rsid w:val="006709B6"/>
    <w:rsid w:val="00670EF8"/>
    <w:rsid w:val="00675725"/>
    <w:rsid w:val="006845A8"/>
    <w:rsid w:val="00685EB6"/>
    <w:rsid w:val="006B357D"/>
    <w:rsid w:val="006D6974"/>
    <w:rsid w:val="006E2F20"/>
    <w:rsid w:val="006E65D6"/>
    <w:rsid w:val="007062A9"/>
    <w:rsid w:val="00713199"/>
    <w:rsid w:val="00734B12"/>
    <w:rsid w:val="00763FF0"/>
    <w:rsid w:val="00766C57"/>
    <w:rsid w:val="00774591"/>
    <w:rsid w:val="00787596"/>
    <w:rsid w:val="007A01B2"/>
    <w:rsid w:val="007D22CB"/>
    <w:rsid w:val="007E49BD"/>
    <w:rsid w:val="008246F4"/>
    <w:rsid w:val="00850D76"/>
    <w:rsid w:val="00876F21"/>
    <w:rsid w:val="008806C4"/>
    <w:rsid w:val="008B7726"/>
    <w:rsid w:val="008E3F5C"/>
    <w:rsid w:val="008E408D"/>
    <w:rsid w:val="00903D4E"/>
    <w:rsid w:val="0091270F"/>
    <w:rsid w:val="00917DDA"/>
    <w:rsid w:val="00980806"/>
    <w:rsid w:val="00A04329"/>
    <w:rsid w:val="00A06C9D"/>
    <w:rsid w:val="00A131D9"/>
    <w:rsid w:val="00A356BC"/>
    <w:rsid w:val="00A40AE4"/>
    <w:rsid w:val="00A61D3D"/>
    <w:rsid w:val="00A833FC"/>
    <w:rsid w:val="00A849D0"/>
    <w:rsid w:val="00A8639A"/>
    <w:rsid w:val="00A93981"/>
    <w:rsid w:val="00AA2DB0"/>
    <w:rsid w:val="00AF06BD"/>
    <w:rsid w:val="00B0336F"/>
    <w:rsid w:val="00B20DC2"/>
    <w:rsid w:val="00B6506D"/>
    <w:rsid w:val="00BB04F5"/>
    <w:rsid w:val="00BC364A"/>
    <w:rsid w:val="00BD4F9F"/>
    <w:rsid w:val="00BE75DD"/>
    <w:rsid w:val="00C013D2"/>
    <w:rsid w:val="00C14557"/>
    <w:rsid w:val="00C20086"/>
    <w:rsid w:val="00C25C39"/>
    <w:rsid w:val="00C311EF"/>
    <w:rsid w:val="00C47ABF"/>
    <w:rsid w:val="00C96EFA"/>
    <w:rsid w:val="00CA03DB"/>
    <w:rsid w:val="00CF1838"/>
    <w:rsid w:val="00CF2871"/>
    <w:rsid w:val="00D03BCA"/>
    <w:rsid w:val="00D301FB"/>
    <w:rsid w:val="00D31D50"/>
    <w:rsid w:val="00D607CA"/>
    <w:rsid w:val="00D67259"/>
    <w:rsid w:val="00D90DFC"/>
    <w:rsid w:val="00DB6B07"/>
    <w:rsid w:val="00DC6383"/>
    <w:rsid w:val="00DE387D"/>
    <w:rsid w:val="00E06E6E"/>
    <w:rsid w:val="00E07689"/>
    <w:rsid w:val="00E15E1B"/>
    <w:rsid w:val="00E264A4"/>
    <w:rsid w:val="00E50705"/>
    <w:rsid w:val="00E53B1C"/>
    <w:rsid w:val="00E608BA"/>
    <w:rsid w:val="00E76056"/>
    <w:rsid w:val="00E90222"/>
    <w:rsid w:val="00EA5C45"/>
    <w:rsid w:val="00EB64B2"/>
    <w:rsid w:val="00EB71FF"/>
    <w:rsid w:val="00EF73F9"/>
    <w:rsid w:val="00F20674"/>
    <w:rsid w:val="00F45AAD"/>
    <w:rsid w:val="00F63509"/>
    <w:rsid w:val="00F84EDF"/>
    <w:rsid w:val="00F90473"/>
    <w:rsid w:val="00F95E36"/>
    <w:rsid w:val="00FB55DE"/>
    <w:rsid w:val="00FB616D"/>
    <w:rsid w:val="00FD371C"/>
    <w:rsid w:val="00FF2867"/>
    <w:rsid w:val="00FF6F3C"/>
    <w:rsid w:val="0BFE2FA8"/>
    <w:rsid w:val="71743F1A"/>
    <w:rsid w:val="73D711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自选图形 44"/>
        <o:r id="V:Rule2" type="connector" idref="#_x0000_s1029"/>
        <o:r id="V:Rule3" type="connector" idref="#自选图形 52"/>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4">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pPr>
    <w:rPr>
      <w:sz w:val="18"/>
      <w:szCs w:val="18"/>
    </w:rPr>
  </w:style>
  <w:style w:type="paragraph" w:styleId="3">
    <w:name w:val="header"/>
    <w:basedOn w:val="1"/>
    <w:link w:val="7"/>
    <w:semiHidden/>
    <w:uiPriority w:val="99"/>
    <w:pPr>
      <w:pBdr>
        <w:bottom w:val="single" w:color="auto" w:sz="6" w:space="1"/>
      </w:pBdr>
      <w:tabs>
        <w:tab w:val="center" w:pos="4153"/>
        <w:tab w:val="right" w:pos="8306"/>
      </w:tabs>
      <w:jc w:val="center"/>
    </w:pPr>
    <w:rPr>
      <w:sz w:val="18"/>
      <w:szCs w:val="18"/>
    </w:rPr>
  </w:style>
  <w:style w:type="character" w:styleId="5">
    <w:name w:val="page number"/>
    <w:basedOn w:val="4"/>
    <w:uiPriority w:val="99"/>
    <w:rPr>
      <w:rFonts w:cs="Times New Roman"/>
    </w:rPr>
  </w:style>
  <w:style w:type="character" w:customStyle="1" w:styleId="7">
    <w:name w:val="Header Char"/>
    <w:basedOn w:val="4"/>
    <w:link w:val="3"/>
    <w:semiHidden/>
    <w:locked/>
    <w:uiPriority w:val="99"/>
    <w:rPr>
      <w:rFonts w:ascii="Tahoma" w:hAnsi="Tahoma" w:cs="Times New Roman"/>
      <w:sz w:val="18"/>
      <w:szCs w:val="18"/>
    </w:rPr>
  </w:style>
  <w:style w:type="character" w:customStyle="1" w:styleId="8">
    <w:name w:val="Footer Char"/>
    <w:basedOn w:val="4"/>
    <w:link w:val="2"/>
    <w:semiHidden/>
    <w:locked/>
    <w:uiPriority w:val="99"/>
    <w:rPr>
      <w:rFonts w:ascii="Tahoma" w:hAnsi="Tahoma" w:cs="Times New Roman"/>
      <w:sz w:val="18"/>
      <w:szCs w:val="18"/>
    </w:rPr>
  </w:style>
  <w:style w:type="character" w:customStyle="1" w:styleId="9">
    <w:name w:val="页脚 Char1"/>
    <w:basedOn w:val="4"/>
    <w:uiPriority w:val="99"/>
    <w:rPr>
      <w:rFonts w:eastAsia="宋体" w:cs="Times New Roman"/>
      <w:kern w:val="2"/>
      <w:sz w:val="18"/>
      <w:szCs w:val="18"/>
      <w:lang w:val="en-US" w:eastAsia="zh-CN" w:bidi="ar-SA"/>
    </w:rPr>
  </w:style>
  <w:style w:type="paragraph" w:customStyle="1" w:styleId="10">
    <w:name w:val="p0"/>
    <w:basedOn w:val="1"/>
    <w:uiPriority w:val="99"/>
    <w:pPr>
      <w:adjustRightInd/>
      <w:snapToGrid/>
      <w:spacing w:after="0"/>
      <w:jc w:val="both"/>
    </w:pPr>
    <w:rPr>
      <w:rFonts w:ascii="Times New Roman" w:hAnsi="Times New Roman" w:eastAsia="宋体"/>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9</Pages>
  <Words>445</Words>
  <Characters>2539</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5170</cp:lastModifiedBy>
  <dcterms:modified xsi:type="dcterms:W3CDTF">2017-12-02T03:46:39Z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