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adjustRightInd w:val="0"/>
        <w:snapToGrid w:val="0"/>
        <w:spacing w:line="590" w:lineRule="exact"/>
        <w:jc w:val="left"/>
        <w:rPr>
          <w:rFonts w:ascii="方正小标宋简体" w:eastAsia="方正小标宋简体"/>
          <w:color w:val="000000"/>
          <w:sz w:val="32"/>
          <w:szCs w:val="32"/>
        </w:rPr>
      </w:pPr>
      <w:r>
        <w:rPr>
          <w:rFonts w:hint="eastAsia" w:ascii="方正小标宋简体" w:eastAsia="方正小标宋简体" w:cs="仿宋_GB2312"/>
          <w:sz w:val="32"/>
          <w:szCs w:val="32"/>
        </w:rPr>
        <w:t>行政权力事项实施清单</w:t>
      </w:r>
    </w:p>
    <w:p>
      <w:pPr>
        <w:spacing w:line="590" w:lineRule="exact"/>
        <w:jc w:val="center"/>
        <w:rPr>
          <w:rFonts w:ascii="?????_GBK" w:eastAsia="Times New Roman"/>
          <w:color w:val="000000"/>
          <w:sz w:val="44"/>
          <w:szCs w:val="44"/>
          <w:shd w:val="clear" w:color="auto" w:fill="FFFFFF"/>
        </w:rPr>
      </w:pPr>
    </w:p>
    <w:p>
      <w:pPr>
        <w:spacing w:line="590" w:lineRule="exact"/>
        <w:jc w:val="center"/>
        <w:rPr>
          <w:rFonts w:ascii="方正小标宋简体" w:eastAsia="方正小标宋简体"/>
          <w:color w:val="000000"/>
          <w:sz w:val="44"/>
          <w:szCs w:val="44"/>
          <w:shd w:val="clear" w:color="auto" w:fill="FFFFFF"/>
        </w:rPr>
      </w:pPr>
      <w:r>
        <w:rPr>
          <w:rFonts w:hint="eastAsia" w:ascii="方正小标宋简体" w:eastAsia="方正小标宋简体"/>
          <w:color w:val="000000"/>
          <w:sz w:val="44"/>
          <w:szCs w:val="44"/>
          <w:shd w:val="clear" w:color="auto" w:fill="FFFFFF"/>
          <w:lang w:val="en-US" w:eastAsia="zh-CN"/>
        </w:rPr>
        <w:t>65</w:t>
      </w:r>
      <w:r>
        <w:rPr>
          <w:rFonts w:ascii="方正小标宋简体" w:eastAsia="方正小标宋简体"/>
          <w:color w:val="000000"/>
          <w:sz w:val="44"/>
          <w:szCs w:val="44"/>
          <w:shd w:val="clear" w:color="auto" w:fill="FFFFFF"/>
        </w:rPr>
        <w:t>.</w:t>
      </w:r>
      <w:r>
        <w:rPr>
          <w:rFonts w:hint="eastAsia" w:ascii="方正小标宋简体" w:eastAsia="方正小标宋简体"/>
          <w:color w:val="000000"/>
          <w:sz w:val="44"/>
          <w:szCs w:val="44"/>
          <w:shd w:val="clear" w:color="auto" w:fill="FFFFFF"/>
        </w:rPr>
        <w:t>民办职业学校（含教学、培训机构）</w:t>
      </w:r>
    </w:p>
    <w:p>
      <w:pPr>
        <w:spacing w:line="590" w:lineRule="exact"/>
        <w:jc w:val="center"/>
        <w:rPr>
          <w:rFonts w:ascii="方正小标宋简体" w:eastAsia="方正小标宋简体"/>
          <w:color w:val="000000"/>
          <w:sz w:val="44"/>
          <w:szCs w:val="44"/>
          <w:shd w:val="clear" w:color="auto" w:fill="FFFFFF"/>
        </w:rPr>
      </w:pPr>
      <w:r>
        <w:rPr>
          <w:rFonts w:hint="eastAsia" w:ascii="方正小标宋简体" w:eastAsia="方正小标宋简体"/>
          <w:color w:val="000000"/>
          <w:sz w:val="44"/>
          <w:szCs w:val="44"/>
          <w:shd w:val="clear" w:color="auto" w:fill="FFFFFF"/>
        </w:rPr>
        <w:t>评估</w:t>
      </w:r>
    </w:p>
    <w:p>
      <w:pPr>
        <w:spacing w:line="240" w:lineRule="exact"/>
        <w:jc w:val="center"/>
        <w:rPr>
          <w:rFonts w:ascii="方正小标宋简体" w:eastAsia="方正小标宋简体"/>
          <w:b/>
          <w:sz w:val="24"/>
          <w:szCs w:val="24"/>
        </w:rPr>
      </w:pPr>
    </w:p>
    <w:tbl>
      <w:tblPr>
        <w:tblStyle w:val="8"/>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1349"/>
        <w:gridCol w:w="1417"/>
        <w:gridCol w:w="5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jc w:val="left"/>
              <w:textAlignment w:val="auto"/>
              <w:outlineLvl w:val="9"/>
              <w:rPr>
                <w:rFonts w:ascii="宋体"/>
                <w:sz w:val="21"/>
                <w:szCs w:val="21"/>
              </w:rPr>
            </w:pPr>
            <w:r>
              <w:rPr>
                <w:rFonts w:hint="eastAsia" w:ascii="宋体" w:hAnsi="宋体" w:cs="宋体"/>
                <w:snapToGrid w:val="0"/>
                <w:kern w:val="0"/>
                <w:sz w:val="21"/>
                <w:szCs w:val="21"/>
              </w:rPr>
              <w:t>行政检查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2" w:firstLineChars="200"/>
              <w:jc w:val="left"/>
              <w:textAlignment w:val="auto"/>
              <w:outlineLvl w:val="9"/>
              <w:rPr>
                <w:rFonts w:asci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2" w:firstLineChars="200"/>
              <w:jc w:val="left"/>
              <w:textAlignment w:val="auto"/>
              <w:outlineLvl w:val="9"/>
              <w:rPr>
                <w:rFonts w:ascii="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616" w:type="dxa"/>
            <w:vMerge w:val="restart"/>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349" w:type="dxa"/>
            <w:vMerge w:val="restart"/>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3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400" w:lineRule="exact"/>
              <w:ind w:firstLine="420" w:firstLineChars="200"/>
              <w:jc w:val="left"/>
              <w:textAlignment w:val="auto"/>
              <w:outlineLvl w:val="9"/>
              <w:rPr>
                <w:rFonts w:ascii="宋体"/>
                <w:kern w:val="1"/>
                <w:sz w:val="21"/>
                <w:szCs w:val="21"/>
              </w:rPr>
            </w:pPr>
            <w:r>
              <w:rPr>
                <w:rFonts w:hint="eastAsia" w:ascii="宋体" w:hAnsi="宋体"/>
                <w:sz w:val="21"/>
                <w:szCs w:val="21"/>
              </w:rPr>
              <w:t>民办职业学校（含教学、培训机构）评估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vMerge w:val="continue"/>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p>
        </w:tc>
        <w:tc>
          <w:tcPr>
            <w:tcW w:w="1349" w:type="dxa"/>
            <w:vMerge w:val="continue"/>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p>
        </w:tc>
        <w:tc>
          <w:tcPr>
            <w:tcW w:w="1417" w:type="dxa"/>
            <w:tcBorders>
              <w:bottom w:val="nil"/>
            </w:tcBorders>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hAnsi="宋体" w:eastAsia="方正小标宋简体" w:cs="宋体"/>
                <w:snapToGrid w:val="0"/>
                <w:kern w:val="0"/>
                <w:sz w:val="28"/>
                <w:szCs w:val="28"/>
              </w:rPr>
            </w:pPr>
            <w:r>
              <w:rPr>
                <w:rFonts w:hint="eastAsia" w:ascii="方正小标宋简体" w:hAnsi="宋体" w:eastAsia="方正小标宋简体"/>
                <w:sz w:val="28"/>
                <w:szCs w:val="28"/>
              </w:rPr>
              <w:t>子项名称</w:t>
            </w:r>
          </w:p>
        </w:tc>
        <w:tc>
          <w:tcPr>
            <w:tcW w:w="573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400" w:lineRule="exact"/>
              <w:ind w:firstLine="420" w:firstLineChars="200"/>
              <w:jc w:val="left"/>
              <w:textAlignment w:val="auto"/>
              <w:outlineLvl w:val="9"/>
              <w:rPr>
                <w:rFonts w:ascii="宋体" w:cs="宋体"/>
                <w:snapToGrid w:val="0"/>
                <w:kern w:val="0"/>
                <w:sz w:val="21"/>
                <w:szCs w:val="21"/>
              </w:rPr>
            </w:pPr>
            <w:r>
              <w:rPr>
                <w:rFonts w:hint="eastAsia" w:ascii="宋体" w:cs="宋体"/>
                <w:snapToGrid w:val="0"/>
                <w:kern w:val="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5</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实施主体</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jc w:val="left"/>
              <w:textAlignment w:val="auto"/>
              <w:outlineLvl w:val="9"/>
              <w:rPr>
                <w:rFonts w:ascii="宋体"/>
                <w:sz w:val="21"/>
                <w:szCs w:val="21"/>
              </w:rPr>
            </w:pPr>
            <w:r>
              <w:rPr>
                <w:rFonts w:hint="eastAsia" w:ascii="宋体" w:hAnsi="宋体"/>
                <w:sz w:val="21"/>
                <w:szCs w:val="21"/>
              </w:rPr>
              <w:t>柳州市人力资源和社会保障局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kern w:val="1"/>
                <w:sz w:val="21"/>
                <w:szCs w:val="21"/>
              </w:rPr>
            </w:pPr>
            <w:r>
              <w:rPr>
                <w:rFonts w:hint="eastAsia" w:ascii="宋体" w:hAnsi="宋体"/>
                <w:sz w:val="21"/>
                <w:szCs w:val="21"/>
              </w:rPr>
              <w:t>法定机关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7</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承办机构</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sz w:val="21"/>
                <w:szCs w:val="21"/>
              </w:rPr>
            </w:pPr>
            <w:r>
              <w:rPr>
                <w:rFonts w:hint="eastAsia" w:ascii="宋体" w:hAnsi="宋体" w:cs="宋体"/>
                <w:kern w:val="0"/>
                <w:sz w:val="21"/>
                <w:szCs w:val="21"/>
              </w:rPr>
              <w:t>柳州市人力资源和社会保障局职业能力建设科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vMerge w:val="restart"/>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349" w:type="dxa"/>
            <w:vMerge w:val="restart"/>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34" w:type="dxa"/>
            <w:tcMar>
              <w:top w:w="57" w:type="dxa"/>
              <w:bottom w:w="57" w:type="dxa"/>
            </w:tcMar>
            <w:vAlign w:val="center"/>
          </w:tcPr>
          <w:p>
            <w:pPr>
              <w:keepNext w:val="0"/>
              <w:keepLines w:val="0"/>
              <w:pageBreakBefore w:val="0"/>
              <w:kinsoku/>
              <w:wordWrap/>
              <w:overflowPunct/>
              <w:topLinePunct w:val="0"/>
              <w:autoSpaceDE/>
              <w:autoSpaceDN/>
              <w:bidi w:val="0"/>
              <w:spacing w:beforeAutospacing="0" w:afterAutospacing="0" w:line="400" w:lineRule="exact"/>
              <w:ind w:firstLine="420" w:firstLineChars="200"/>
              <w:textAlignment w:val="auto"/>
              <w:outlineLvl w:val="9"/>
              <w:rPr>
                <w:rFonts w:ascii="宋体"/>
                <w:sz w:val="21"/>
                <w:szCs w:val="21"/>
              </w:rPr>
            </w:pPr>
            <w:r>
              <w:rPr>
                <w:rFonts w:hint="eastAsia" w:ascii="宋体" w:hAnsi="宋体"/>
                <w:sz w:val="21"/>
                <w:szCs w:val="21"/>
              </w:rPr>
              <w:t>07</w:t>
            </w:r>
            <w:r>
              <w:rPr>
                <w:rFonts w:hint="eastAsia" w:ascii="宋体" w:hAnsi="宋体"/>
                <w:sz w:val="21"/>
                <w:szCs w:val="21"/>
                <w:lang w:eastAsia="zh-CN"/>
              </w:rPr>
              <w:t>65-</w:t>
            </w:r>
            <w:r>
              <w:rPr>
                <w:rFonts w:hint="eastAsia" w:ascii="宋体" w:hAnsi="宋体"/>
                <w:sz w:val="21"/>
                <w:szCs w:val="21"/>
              </w:rPr>
              <w:t>2825472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vMerge w:val="continue"/>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p>
        </w:tc>
        <w:tc>
          <w:tcPr>
            <w:tcW w:w="1349" w:type="dxa"/>
            <w:vMerge w:val="continue"/>
            <w:tcMar>
              <w:top w:w="57" w:type="dxa"/>
              <w:bottom w:w="57" w:type="dxa"/>
            </w:tcMa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p>
        </w:tc>
        <w:tc>
          <w:tcPr>
            <w:tcW w:w="1417" w:type="dxa"/>
            <w:tcBorders>
              <w:bottom w:val="nil"/>
            </w:tcBorders>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34" w:type="dxa"/>
            <w:tcMar>
              <w:top w:w="57" w:type="dxa"/>
              <w:bottom w:w="57" w:type="dxa"/>
            </w:tcMar>
            <w:vAlign w:val="center"/>
          </w:tcPr>
          <w:p>
            <w:pPr>
              <w:keepNext w:val="0"/>
              <w:keepLines w:val="0"/>
              <w:pageBreakBefore w:val="0"/>
              <w:kinsoku/>
              <w:wordWrap/>
              <w:overflowPunct/>
              <w:topLinePunct w:val="0"/>
              <w:autoSpaceDE/>
              <w:autoSpaceDN/>
              <w:bidi w:val="0"/>
              <w:spacing w:beforeAutospacing="0" w:afterAutospacing="0" w:line="400" w:lineRule="exact"/>
              <w:ind w:firstLine="420" w:firstLineChars="200"/>
              <w:textAlignment w:val="auto"/>
              <w:outlineLvl w:val="9"/>
              <w:rPr>
                <w:rFonts w:ascii="宋体"/>
                <w:sz w:val="21"/>
                <w:szCs w:val="21"/>
              </w:rPr>
            </w:pPr>
            <w:r>
              <w:rPr>
                <w:rFonts w:hint="eastAsia" w:ascii="宋体" w:hAnsi="宋体"/>
                <w:sz w:val="21"/>
                <w:szCs w:val="21"/>
              </w:rPr>
              <w:t>07</w:t>
            </w:r>
            <w:r>
              <w:rPr>
                <w:rFonts w:hint="eastAsia" w:ascii="宋体" w:hAnsi="宋体"/>
                <w:sz w:val="21"/>
                <w:szCs w:val="21"/>
                <w:lang w:eastAsia="zh-CN"/>
              </w:rPr>
              <w:t>65-</w:t>
            </w:r>
            <w:r>
              <w:rPr>
                <w:rFonts w:hint="eastAsia" w:ascii="宋体" w:hAnsi="宋体"/>
                <w:sz w:val="21"/>
                <w:szCs w:val="21"/>
              </w:rPr>
              <w:t>2818473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b/>
                <w:sz w:val="28"/>
                <w:szCs w:val="28"/>
              </w:rPr>
            </w:pPr>
            <w:r>
              <w:rPr>
                <w:rFonts w:ascii="方正小标宋简体" w:eastAsia="方正小标宋简体"/>
                <w:b/>
                <w:sz w:val="28"/>
                <w:szCs w:val="28"/>
              </w:rPr>
              <w:t>9</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设定依据</w:t>
            </w:r>
          </w:p>
        </w:tc>
        <w:tc>
          <w:tcPr>
            <w:tcW w:w="7151"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sz w:val="21"/>
                <w:szCs w:val="21"/>
              </w:rPr>
            </w:pPr>
            <w:r>
              <w:rPr>
                <w:rFonts w:ascii="宋体" w:hAnsi="宋体"/>
                <w:sz w:val="21"/>
                <w:szCs w:val="21"/>
              </w:rPr>
              <w:t>1.</w:t>
            </w:r>
            <w:r>
              <w:rPr>
                <w:rFonts w:hint="eastAsia" w:ascii="宋体" w:hAnsi="宋体"/>
                <w:sz w:val="21"/>
                <w:szCs w:val="21"/>
              </w:rPr>
              <w:t>《中华人民共和国民办教育促进法》（</w:t>
            </w:r>
            <w:r>
              <w:rPr>
                <w:rFonts w:ascii="宋体" w:hAnsi="宋体"/>
                <w:sz w:val="21"/>
                <w:szCs w:val="21"/>
              </w:rPr>
              <w:t>2002</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28</w:t>
            </w:r>
            <w:r>
              <w:rPr>
                <w:rFonts w:hint="eastAsia" w:ascii="宋体" w:hAnsi="宋体"/>
                <w:sz w:val="21"/>
                <w:szCs w:val="21"/>
              </w:rPr>
              <w:t>日中华人民共和国主席令第</w:t>
            </w:r>
            <w:r>
              <w:rPr>
                <w:rFonts w:ascii="宋体" w:hAnsi="宋体"/>
                <w:sz w:val="21"/>
                <w:szCs w:val="21"/>
              </w:rPr>
              <w:t>80</w:t>
            </w:r>
            <w:r>
              <w:rPr>
                <w:rFonts w:hint="eastAsia" w:ascii="宋体" w:hAnsi="宋体"/>
                <w:sz w:val="21"/>
                <w:szCs w:val="21"/>
              </w:rPr>
              <w:t>号公布，自</w:t>
            </w:r>
            <w:r>
              <w:rPr>
                <w:rFonts w:ascii="宋体" w:hAnsi="宋体"/>
                <w:sz w:val="21"/>
                <w:szCs w:val="21"/>
              </w:rPr>
              <w:t>2003</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2013</w:t>
            </w:r>
            <w:r>
              <w:rPr>
                <w:rFonts w:hint="eastAsia" w:ascii="宋体" w:hAnsi="宋体"/>
                <w:sz w:val="21"/>
                <w:szCs w:val="21"/>
              </w:rPr>
              <w:t>年</w:t>
            </w:r>
            <w:r>
              <w:rPr>
                <w:rFonts w:ascii="宋体" w:hAnsi="宋体"/>
                <w:sz w:val="21"/>
                <w:szCs w:val="21"/>
              </w:rPr>
              <w:t>6</w:t>
            </w:r>
            <w:r>
              <w:rPr>
                <w:rFonts w:hint="eastAsia" w:ascii="宋体" w:hAnsi="宋体"/>
                <w:sz w:val="21"/>
                <w:szCs w:val="21"/>
              </w:rPr>
              <w:t>月</w:t>
            </w:r>
            <w:r>
              <w:rPr>
                <w:rFonts w:ascii="宋体" w:hAnsi="宋体"/>
                <w:sz w:val="21"/>
                <w:szCs w:val="21"/>
              </w:rPr>
              <w:t>29</w:t>
            </w:r>
            <w:r>
              <w:rPr>
                <w:rFonts w:hint="eastAsia" w:ascii="宋体" w:hAnsi="宋体"/>
                <w:sz w:val="21"/>
                <w:szCs w:val="21"/>
              </w:rPr>
              <w:t>日中华人民共和国主席令第</w:t>
            </w:r>
            <w:r>
              <w:rPr>
                <w:rFonts w:ascii="宋体" w:hAnsi="宋体"/>
                <w:sz w:val="21"/>
                <w:szCs w:val="21"/>
              </w:rPr>
              <w:t>5</w:t>
            </w:r>
            <w:r>
              <w:rPr>
                <w:rFonts w:hint="eastAsia" w:ascii="宋体" w:hAnsi="宋体"/>
                <w:sz w:val="21"/>
                <w:szCs w:val="21"/>
              </w:rPr>
              <w:t>号公布修改，自</w:t>
            </w:r>
            <w:r>
              <w:rPr>
                <w:rFonts w:ascii="宋体" w:hAnsi="宋体"/>
                <w:sz w:val="21"/>
                <w:szCs w:val="21"/>
              </w:rPr>
              <w:t>2013</w:t>
            </w:r>
            <w:r>
              <w:rPr>
                <w:rFonts w:hint="eastAsia" w:ascii="宋体" w:hAnsi="宋体"/>
                <w:sz w:val="21"/>
                <w:szCs w:val="21"/>
              </w:rPr>
              <w:t>年</w:t>
            </w:r>
            <w:r>
              <w:rPr>
                <w:rFonts w:ascii="宋体" w:hAnsi="宋体"/>
                <w:sz w:val="21"/>
                <w:szCs w:val="21"/>
              </w:rPr>
              <w:t>6</w:t>
            </w:r>
            <w:r>
              <w:rPr>
                <w:rFonts w:hint="eastAsia" w:ascii="宋体" w:hAnsi="宋体"/>
                <w:sz w:val="21"/>
                <w:szCs w:val="21"/>
              </w:rPr>
              <w:t>月</w:t>
            </w:r>
            <w:r>
              <w:rPr>
                <w:rFonts w:ascii="宋体" w:hAnsi="宋体"/>
                <w:sz w:val="21"/>
                <w:szCs w:val="21"/>
              </w:rPr>
              <w:t>29</w:t>
            </w:r>
            <w:r>
              <w:rPr>
                <w:rFonts w:hint="eastAsia" w:ascii="宋体" w:hAnsi="宋体"/>
                <w:sz w:val="21"/>
                <w:szCs w:val="21"/>
              </w:rPr>
              <w:t>日起施行）第八条第二款</w:t>
            </w:r>
            <w:r>
              <w:rPr>
                <w:rFonts w:ascii="宋体" w:hAnsi="宋体"/>
                <w:sz w:val="21"/>
                <w:szCs w:val="21"/>
              </w:rPr>
              <w:t xml:space="preserve"> </w:t>
            </w:r>
            <w:r>
              <w:rPr>
                <w:rFonts w:hint="eastAsia" w:ascii="宋体" w:hAnsi="宋体"/>
                <w:sz w:val="21"/>
                <w:szCs w:val="21"/>
              </w:rPr>
              <w:t>县级以上地方各级人民政府劳动和社会保障行政部门及其他有关部门在各自的职责范围内，分别负责有关的民办教育工作。</w:t>
            </w:r>
            <w:r>
              <w:rPr>
                <w:rFonts w:ascii="宋体" w:hAnsi="宋体"/>
                <w:sz w:val="21"/>
                <w:szCs w:val="21"/>
              </w:rPr>
              <w:t xml:space="preserve">  </w:t>
            </w:r>
            <w:r>
              <w:rPr>
                <w:rFonts w:hint="eastAsia" w:ascii="宋体" w:hAnsi="宋体"/>
                <w:sz w:val="21"/>
                <w:szCs w:val="21"/>
              </w:rPr>
              <w:t>第四十条</w:t>
            </w:r>
            <w:r>
              <w:rPr>
                <w:rFonts w:ascii="宋体" w:hAnsi="宋体"/>
                <w:sz w:val="21"/>
                <w:szCs w:val="21"/>
              </w:rPr>
              <w:t xml:space="preserve">   </w:t>
            </w:r>
            <w:r>
              <w:rPr>
                <w:rFonts w:hint="eastAsia" w:ascii="宋体" w:hAnsi="宋体"/>
                <w:sz w:val="21"/>
                <w:szCs w:val="21"/>
              </w:rPr>
              <w:t>教育行政部门及有关部门依法对民办学校实行督导，促进提高办学质量；组织或者委托社会中介组织评估办学水平和教育质量，并将评估结果向社会公布。</w:t>
            </w:r>
          </w:p>
          <w:p>
            <w:pPr>
              <w:keepNext w:val="0"/>
              <w:keepLines w:val="0"/>
              <w:pageBreakBefore w:val="0"/>
              <w:widowControl/>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b/>
                <w:bCs/>
                <w:snapToGrid w:val="0"/>
                <w:sz w:val="21"/>
                <w:szCs w:val="21"/>
              </w:rPr>
            </w:pPr>
            <w:r>
              <w:rPr>
                <w:rFonts w:ascii="宋体" w:hAnsi="宋体"/>
                <w:sz w:val="21"/>
                <w:szCs w:val="21"/>
              </w:rPr>
              <w:t>2.</w:t>
            </w:r>
            <w:r>
              <w:rPr>
                <w:rFonts w:hint="eastAsia" w:ascii="宋体" w:hAnsi="宋体"/>
                <w:sz w:val="21"/>
                <w:szCs w:val="21"/>
              </w:rPr>
              <w:t>《中华人民共和国民办教育促进法实施条例》（</w:t>
            </w:r>
            <w:r>
              <w:rPr>
                <w:rFonts w:ascii="宋体" w:hAnsi="宋体"/>
                <w:sz w:val="21"/>
                <w:szCs w:val="21"/>
              </w:rPr>
              <w:t>2004</w:t>
            </w:r>
            <w:r>
              <w:rPr>
                <w:rFonts w:hint="eastAsia" w:ascii="宋体" w:hAnsi="宋体"/>
                <w:sz w:val="21"/>
                <w:szCs w:val="21"/>
              </w:rPr>
              <w:t>年</w:t>
            </w:r>
            <w:r>
              <w:rPr>
                <w:rFonts w:ascii="宋体" w:hAnsi="宋体"/>
                <w:sz w:val="21"/>
                <w:szCs w:val="21"/>
              </w:rPr>
              <w:t>3</w:t>
            </w:r>
            <w:r>
              <w:rPr>
                <w:rFonts w:hint="eastAsia" w:ascii="宋体" w:hAnsi="宋体"/>
                <w:sz w:val="21"/>
                <w:szCs w:val="21"/>
              </w:rPr>
              <w:t>月</w:t>
            </w:r>
            <w:r>
              <w:rPr>
                <w:rFonts w:ascii="宋体" w:hAnsi="宋体"/>
                <w:sz w:val="21"/>
                <w:szCs w:val="21"/>
              </w:rPr>
              <w:t>5</w:t>
            </w:r>
            <w:r>
              <w:rPr>
                <w:rFonts w:hint="eastAsia" w:ascii="宋体" w:hAnsi="宋体"/>
                <w:sz w:val="21"/>
                <w:szCs w:val="21"/>
              </w:rPr>
              <w:t>日中华人民共和国国务院令第</w:t>
            </w:r>
            <w:r>
              <w:rPr>
                <w:rFonts w:ascii="宋体" w:hAnsi="宋体"/>
                <w:sz w:val="21"/>
                <w:szCs w:val="21"/>
              </w:rPr>
              <w:t>399</w:t>
            </w:r>
            <w:r>
              <w:rPr>
                <w:rFonts w:hint="eastAsia" w:ascii="宋体" w:hAnsi="宋体"/>
                <w:sz w:val="21"/>
                <w:szCs w:val="21"/>
              </w:rPr>
              <w:t>号公布</w:t>
            </w:r>
            <w:r>
              <w:rPr>
                <w:rFonts w:ascii="宋体" w:hAnsi="宋体"/>
                <w:sz w:val="21"/>
                <w:szCs w:val="21"/>
              </w:rPr>
              <w:t>,</w:t>
            </w:r>
            <w:r>
              <w:rPr>
                <w:rFonts w:hint="eastAsia" w:ascii="宋体" w:hAnsi="宋体"/>
                <w:sz w:val="21"/>
                <w:szCs w:val="21"/>
              </w:rPr>
              <w:t>自</w:t>
            </w:r>
            <w:r>
              <w:rPr>
                <w:rFonts w:ascii="宋体" w:hAnsi="宋体"/>
                <w:sz w:val="21"/>
                <w:szCs w:val="21"/>
              </w:rPr>
              <w:t>2004</w:t>
            </w:r>
            <w:r>
              <w:rPr>
                <w:rFonts w:hint="eastAsia" w:ascii="宋体" w:hAnsi="宋体"/>
                <w:sz w:val="21"/>
                <w:szCs w:val="21"/>
              </w:rPr>
              <w:t>年</w:t>
            </w:r>
            <w:r>
              <w:rPr>
                <w:rFonts w:ascii="宋体" w:hAnsi="宋体"/>
                <w:sz w:val="21"/>
                <w:szCs w:val="21"/>
              </w:rPr>
              <w:t>4</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日起施行）第三十二条</w:t>
            </w:r>
            <w:r>
              <w:rPr>
                <w:rFonts w:ascii="宋体" w:hAnsi="宋体"/>
                <w:sz w:val="21"/>
                <w:szCs w:val="21"/>
              </w:rPr>
              <w:t xml:space="preserve">  </w:t>
            </w:r>
            <w:r>
              <w:rPr>
                <w:rFonts w:hint="eastAsia" w:ascii="宋体" w:hAnsi="宋体"/>
                <w:sz w:val="21"/>
                <w:szCs w:val="21"/>
              </w:rPr>
              <w:t>教育行政部门、劳动和社会保障行政部门应当加强对民办学校的日常监督，定期组织和委托社会中介组织评估民办学校办学水平和教育质量，并鼓励和支持民办学校开展教育教学研究工作，促进民办学校提高教育教学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10</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实施对象</w:t>
            </w:r>
          </w:p>
        </w:tc>
        <w:tc>
          <w:tcPr>
            <w:tcW w:w="7151"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400" w:lineRule="exact"/>
              <w:ind w:firstLine="420" w:firstLineChars="200"/>
              <w:jc w:val="left"/>
              <w:textAlignment w:val="auto"/>
              <w:outlineLvl w:val="9"/>
              <w:rPr>
                <w:rFonts w:ascii="宋体"/>
                <w:b/>
                <w:sz w:val="21"/>
                <w:szCs w:val="21"/>
              </w:rPr>
            </w:pPr>
            <w:r>
              <w:rPr>
                <w:rFonts w:hint="eastAsia" w:ascii="宋体" w:hAnsi="宋体"/>
                <w:sz w:val="21"/>
                <w:szCs w:val="21"/>
              </w:rPr>
              <w:t>柳州市城区内的民办职业学校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51" w:type="dxa"/>
            <w:gridSpan w:val="2"/>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beforeAutospacing="0" w:afterAutospacing="0" w:line="400" w:lineRule="exact"/>
              <w:ind w:firstLine="420" w:firstLineChars="200"/>
              <w:jc w:val="left"/>
              <w:textAlignment w:val="auto"/>
              <w:outlineLvl w:val="9"/>
              <w:rPr>
                <w:rFonts w:ascii="宋体" w:cs="宋体"/>
                <w:snapToGrid w:val="0"/>
                <w:kern w:val="0"/>
                <w:sz w:val="21"/>
                <w:szCs w:val="21"/>
              </w:rPr>
            </w:pPr>
            <w:r>
              <w:rPr>
                <w:rFonts w:hint="eastAsia" w:ascii="宋体" w:hAnsi="宋体" w:cs="宋体"/>
                <w:snapToGrid w:val="0"/>
                <w:kern w:val="0"/>
                <w:sz w:val="21"/>
                <w:szCs w:val="21"/>
              </w:rPr>
              <w:t>此事项属于自治区、市、县三级管理。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检查流程</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sz w:val="21"/>
                <w:szCs w:val="21"/>
              </w:rPr>
            </w:pPr>
            <w:r>
              <w:rPr>
                <w:rFonts w:hint="eastAsia" w:ascii="宋体" w:hAnsi="宋体"/>
                <w:sz w:val="21"/>
                <w:szCs w:val="21"/>
              </w:rPr>
              <w:t>详见附件</w:t>
            </w:r>
            <w:r>
              <w:rPr>
                <w:rFonts w:hint="eastAsia" w:ascii="宋体" w:hAnsi="宋体"/>
                <w:sz w:val="21"/>
                <w:szCs w:val="21"/>
                <w:lang w:eastAsia="zh-CN"/>
              </w:rPr>
              <w:t>65-</w:t>
            </w:r>
            <w:r>
              <w:rPr>
                <w:rFonts w:ascii="宋体" w:hAnsi="宋体"/>
                <w:sz w:val="21"/>
                <w:szCs w:val="21"/>
              </w:rPr>
              <w:t>1</w:t>
            </w: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检查内容</w:t>
            </w:r>
          </w:p>
        </w:tc>
        <w:tc>
          <w:tcPr>
            <w:tcW w:w="7151" w:type="dxa"/>
            <w:gridSpan w:val="2"/>
            <w:tcMar>
              <w:top w:w="57" w:type="dxa"/>
              <w:bottom w:w="57" w:type="dxa"/>
            </w:tcMar>
            <w:vAlign w:val="center"/>
          </w:tcPr>
          <w:p>
            <w:pPr>
              <w:pStyle w:val="5"/>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400" w:lineRule="exact"/>
              <w:ind w:left="45" w:right="45" w:firstLine="450"/>
              <w:textAlignment w:val="auto"/>
              <w:outlineLvl w:val="9"/>
              <w:rPr>
                <w:sz w:val="21"/>
                <w:szCs w:val="21"/>
              </w:rPr>
            </w:pPr>
            <w:r>
              <w:rPr>
                <w:rFonts w:hint="eastAsia"/>
                <w:sz w:val="21"/>
                <w:szCs w:val="21"/>
              </w:rPr>
              <w:t>《中华人民共和国民办教育促进法实施条例》（</w:t>
            </w:r>
            <w:r>
              <w:rPr>
                <w:sz w:val="21"/>
                <w:szCs w:val="21"/>
              </w:rPr>
              <w:t>2004</w:t>
            </w:r>
            <w:r>
              <w:rPr>
                <w:rFonts w:hint="eastAsia"/>
                <w:sz w:val="21"/>
                <w:szCs w:val="21"/>
              </w:rPr>
              <w:t>年</w:t>
            </w:r>
            <w:r>
              <w:rPr>
                <w:sz w:val="21"/>
                <w:szCs w:val="21"/>
              </w:rPr>
              <w:t>3</w:t>
            </w:r>
            <w:r>
              <w:rPr>
                <w:rFonts w:hint="eastAsia"/>
                <w:sz w:val="21"/>
                <w:szCs w:val="21"/>
              </w:rPr>
              <w:t>月</w:t>
            </w:r>
            <w:r>
              <w:rPr>
                <w:sz w:val="21"/>
                <w:szCs w:val="21"/>
              </w:rPr>
              <w:t>5</w:t>
            </w:r>
            <w:r>
              <w:rPr>
                <w:rFonts w:hint="eastAsia"/>
                <w:sz w:val="21"/>
                <w:szCs w:val="21"/>
              </w:rPr>
              <w:t>日中华人民共和国国务院令第</w:t>
            </w:r>
            <w:r>
              <w:rPr>
                <w:sz w:val="21"/>
                <w:szCs w:val="21"/>
              </w:rPr>
              <w:t>399</w:t>
            </w:r>
            <w:r>
              <w:rPr>
                <w:rFonts w:hint="eastAsia"/>
                <w:sz w:val="21"/>
                <w:szCs w:val="21"/>
              </w:rPr>
              <w:t>号公布</w:t>
            </w:r>
            <w:r>
              <w:rPr>
                <w:sz w:val="21"/>
                <w:szCs w:val="21"/>
              </w:rPr>
              <w:t>,</w:t>
            </w:r>
            <w:r>
              <w:rPr>
                <w:rFonts w:hint="eastAsia"/>
                <w:sz w:val="21"/>
                <w:szCs w:val="21"/>
              </w:rPr>
              <w:t>自</w:t>
            </w:r>
            <w:r>
              <w:rPr>
                <w:sz w:val="21"/>
                <w:szCs w:val="21"/>
              </w:rPr>
              <w:t>2004</w:t>
            </w:r>
            <w:r>
              <w:rPr>
                <w:rFonts w:hint="eastAsia"/>
                <w:sz w:val="21"/>
                <w:szCs w:val="21"/>
              </w:rPr>
              <w:t>年</w:t>
            </w:r>
            <w:r>
              <w:rPr>
                <w:sz w:val="21"/>
                <w:szCs w:val="21"/>
              </w:rPr>
              <w:t>4</w:t>
            </w:r>
            <w:r>
              <w:rPr>
                <w:rFonts w:hint="eastAsia"/>
                <w:sz w:val="21"/>
                <w:szCs w:val="21"/>
              </w:rPr>
              <w:t>月</w:t>
            </w:r>
            <w:r>
              <w:rPr>
                <w:sz w:val="21"/>
                <w:szCs w:val="21"/>
              </w:rPr>
              <w:t>1</w:t>
            </w:r>
            <w:r>
              <w:rPr>
                <w:rFonts w:hint="eastAsia"/>
                <w:sz w:val="21"/>
                <w:szCs w:val="21"/>
              </w:rPr>
              <w:t>日起施行）第三十二条</w:t>
            </w:r>
            <w:r>
              <w:rPr>
                <w:sz w:val="21"/>
                <w:szCs w:val="21"/>
              </w:rPr>
              <w:t xml:space="preserve">  </w:t>
            </w:r>
            <w:r>
              <w:rPr>
                <w:rFonts w:hint="eastAsia"/>
                <w:sz w:val="21"/>
                <w:szCs w:val="21"/>
              </w:rPr>
              <w:t>教育行政部门、劳动和社会保障行政部门应当加强对民办学校的日常监督，定期组织和委托社会中介组织评估民办学校办学水平和教育质量，并鼓励和支持民办学校开展教育教学研究工作，促进民办学校提高教育教学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责任事项</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hAnsi="宋体"/>
                <w:sz w:val="21"/>
                <w:szCs w:val="21"/>
              </w:rPr>
            </w:pPr>
            <w:r>
              <w:rPr>
                <w:rFonts w:ascii="宋体" w:hAnsi="宋体"/>
                <w:sz w:val="21"/>
                <w:szCs w:val="21"/>
              </w:rPr>
              <w:t>1</w:t>
            </w:r>
            <w:r>
              <w:rPr>
                <w:rFonts w:hint="eastAsia" w:ascii="宋体" w:hAnsi="宋体"/>
                <w:sz w:val="21"/>
                <w:szCs w:val="21"/>
              </w:rPr>
              <w:t>．受理责任：一次性告知补正材料；依法受理或不予受理（不予受理应当告知理由）。</w:t>
            </w:r>
            <w:r>
              <w:rPr>
                <w:rFonts w:ascii="宋体" w:hAnsi="宋体"/>
                <w:sz w:val="21"/>
                <w:szCs w:val="21"/>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hAnsi="宋体"/>
                <w:sz w:val="21"/>
                <w:szCs w:val="21"/>
              </w:rPr>
            </w:pPr>
            <w:r>
              <w:rPr>
                <w:rFonts w:ascii="宋体" w:hAnsi="宋体"/>
                <w:sz w:val="21"/>
                <w:szCs w:val="21"/>
              </w:rPr>
              <w:t>2</w:t>
            </w:r>
            <w:r>
              <w:rPr>
                <w:rFonts w:hint="eastAsia" w:ascii="宋体" w:hAnsi="宋体"/>
                <w:sz w:val="21"/>
                <w:szCs w:val="21"/>
              </w:rPr>
              <w:t>．审查责任：材料审核；组织专家开展现场评估；出具评估报告。</w:t>
            </w:r>
            <w:r>
              <w:rPr>
                <w:rFonts w:ascii="宋体" w:hAnsi="宋体"/>
                <w:sz w:val="21"/>
                <w:szCs w:val="21"/>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hAnsi="宋体"/>
                <w:sz w:val="21"/>
                <w:szCs w:val="21"/>
              </w:rPr>
            </w:pPr>
            <w:r>
              <w:rPr>
                <w:rFonts w:ascii="宋体" w:hAnsi="宋体"/>
                <w:sz w:val="21"/>
                <w:szCs w:val="21"/>
              </w:rPr>
              <w:t>3</w:t>
            </w:r>
            <w:r>
              <w:rPr>
                <w:rFonts w:hint="eastAsia" w:ascii="宋体" w:hAnsi="宋体"/>
                <w:sz w:val="21"/>
                <w:szCs w:val="21"/>
              </w:rPr>
              <w:t>．决定责任：确定评估合格名单。</w:t>
            </w:r>
            <w:r>
              <w:rPr>
                <w:rFonts w:ascii="宋体" w:hAnsi="宋体"/>
                <w:sz w:val="21"/>
                <w:szCs w:val="21"/>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hAnsi="宋体"/>
                <w:sz w:val="21"/>
                <w:szCs w:val="21"/>
              </w:rPr>
            </w:pPr>
            <w:r>
              <w:rPr>
                <w:rFonts w:ascii="宋体" w:hAnsi="宋体"/>
                <w:sz w:val="21"/>
                <w:szCs w:val="21"/>
              </w:rPr>
              <w:t>4</w:t>
            </w:r>
            <w:r>
              <w:rPr>
                <w:rFonts w:hint="eastAsia" w:ascii="宋体" w:hAnsi="宋体"/>
                <w:sz w:val="21"/>
                <w:szCs w:val="21"/>
              </w:rPr>
              <w:t>．送达责任：制发送达文件；信息公开。</w:t>
            </w:r>
            <w:r>
              <w:rPr>
                <w:rFonts w:ascii="宋体" w:hAnsi="宋体"/>
                <w:sz w:val="21"/>
                <w:szCs w:val="21"/>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sz w:val="21"/>
                <w:szCs w:val="21"/>
              </w:rPr>
            </w:pPr>
            <w:r>
              <w:rPr>
                <w:rFonts w:ascii="宋体" w:hAnsi="宋体"/>
                <w:sz w:val="21"/>
                <w:szCs w:val="21"/>
              </w:rPr>
              <w:t>5</w:t>
            </w:r>
            <w:r>
              <w:rPr>
                <w:rFonts w:hint="eastAsia" w:ascii="宋体" w:hAnsi="宋体"/>
                <w:sz w:val="21"/>
                <w:szCs w:val="21"/>
              </w:rPr>
              <w:t>．事后监管责任：建立评估档案；加强民办职业学校的管理。</w:t>
            </w:r>
          </w:p>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kern w:val="0"/>
                <w:sz w:val="21"/>
                <w:szCs w:val="21"/>
              </w:rPr>
            </w:pPr>
            <w:r>
              <w:rPr>
                <w:rFonts w:ascii="宋体" w:hAnsi="宋体"/>
                <w:sz w:val="21"/>
                <w:szCs w:val="21"/>
              </w:rPr>
              <w:t>6</w:t>
            </w:r>
            <w:r>
              <w:rPr>
                <w:rFonts w:hint="eastAsia" w:ascii="宋体" w:hAnsi="宋体"/>
                <w:sz w:val="21"/>
                <w:szCs w:val="21"/>
              </w:rPr>
              <w:t>．其他法律法规规定应履行的责任。</w:t>
            </w:r>
            <w:r>
              <w:rPr>
                <w:rFonts w:ascii="宋体" w:hAnsi="宋体"/>
                <w:sz w:val="21"/>
                <w:szCs w:val="21"/>
              </w:rPr>
              <w:t xml:space="preserve">11. </w:t>
            </w:r>
            <w:r>
              <w:rPr>
                <w:rFonts w:hint="eastAsia" w:ascii="宋体" w:hAnsi="宋体"/>
                <w:sz w:val="21"/>
                <w:szCs w:val="21"/>
              </w:rPr>
              <w:t>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追责情形</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sz w:val="21"/>
                <w:szCs w:val="21"/>
              </w:rPr>
            </w:pPr>
            <w:r>
              <w:rPr>
                <w:rFonts w:hint="eastAsia" w:ascii="宋体" w:hAnsi="宋体"/>
                <w:sz w:val="21"/>
                <w:szCs w:val="21"/>
              </w:rPr>
              <w:t>因不履行或不正确履行行政职责，有下列情形的，行政机关及相关工作人员应承担相应责任：</w:t>
            </w:r>
          </w:p>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sz w:val="21"/>
                <w:szCs w:val="21"/>
              </w:rPr>
            </w:pPr>
            <w:r>
              <w:rPr>
                <w:rFonts w:ascii="宋体" w:hAnsi="宋体"/>
                <w:sz w:val="21"/>
                <w:szCs w:val="21"/>
              </w:rPr>
              <w:t>1.</w:t>
            </w:r>
            <w:r>
              <w:rPr>
                <w:rFonts w:hint="eastAsia" w:ascii="宋体" w:hAnsi="宋体"/>
                <w:sz w:val="21"/>
                <w:szCs w:val="21"/>
              </w:rPr>
              <w:t>不履行或不正确履行职责，对造成或即将造成危险的行为不予制止和有效处理的。</w:t>
            </w:r>
          </w:p>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sz w:val="21"/>
                <w:szCs w:val="21"/>
              </w:rPr>
            </w:pPr>
            <w:r>
              <w:rPr>
                <w:rFonts w:ascii="宋体" w:hAnsi="宋体"/>
                <w:sz w:val="21"/>
                <w:szCs w:val="21"/>
              </w:rPr>
              <w:t>2.</w:t>
            </w:r>
            <w:r>
              <w:rPr>
                <w:rFonts w:hint="eastAsia" w:ascii="宋体" w:hAnsi="宋体"/>
                <w:sz w:val="21"/>
                <w:szCs w:val="21"/>
              </w:rPr>
              <w:t>在监督检查中玩忽职守、徇私舞弊的。</w:t>
            </w:r>
          </w:p>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sz w:val="21"/>
                <w:szCs w:val="21"/>
              </w:rPr>
            </w:pPr>
            <w:r>
              <w:rPr>
                <w:rFonts w:ascii="宋体" w:hAnsi="宋体"/>
                <w:sz w:val="21"/>
                <w:szCs w:val="21"/>
              </w:rPr>
              <w:t>3.</w:t>
            </w:r>
            <w:r>
              <w:rPr>
                <w:rFonts w:hint="eastAsia" w:ascii="宋体" w:hAnsi="宋体"/>
                <w:sz w:val="21"/>
                <w:szCs w:val="21"/>
              </w:rPr>
              <w:t>在监督检查中滥用职权，谋取不正当利益和发生腐败行为的。</w:t>
            </w:r>
          </w:p>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cs="宋体"/>
                <w:kern w:val="0"/>
                <w:sz w:val="21"/>
                <w:szCs w:val="21"/>
              </w:rPr>
            </w:pPr>
            <w:r>
              <w:rPr>
                <w:rFonts w:ascii="宋体" w:hAnsi="宋体"/>
                <w:sz w:val="21"/>
                <w:szCs w:val="21"/>
              </w:rPr>
              <w:t>4.</w:t>
            </w:r>
            <w:r>
              <w:rPr>
                <w:rFonts w:hint="eastAsia" w:ascii="宋体" w:hAnsi="宋体"/>
                <w:sz w:val="21"/>
                <w:szCs w:val="21"/>
              </w:rPr>
              <w:t>其他违反法律法规规章文件规定的行为。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616"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349"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备注</w:t>
            </w:r>
          </w:p>
        </w:tc>
        <w:tc>
          <w:tcPr>
            <w:tcW w:w="7151" w:type="dxa"/>
            <w:gridSpan w:val="2"/>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beforeAutospacing="0" w:afterAutospacing="0" w:line="400" w:lineRule="exact"/>
              <w:ind w:firstLine="420" w:firstLineChars="200"/>
              <w:textAlignment w:val="auto"/>
              <w:outlineLvl w:val="9"/>
              <w:rPr>
                <w:rFonts w:ascii="宋体"/>
                <w:kern w:val="0"/>
                <w:sz w:val="21"/>
                <w:szCs w:val="21"/>
              </w:rPr>
            </w:pPr>
          </w:p>
        </w:tc>
      </w:tr>
    </w:tbl>
    <w:p>
      <w:pPr>
        <w:tabs>
          <w:tab w:val="left" w:pos="0"/>
        </w:tabs>
        <w:adjustRightInd w:val="0"/>
        <w:snapToGrid w:val="0"/>
        <w:spacing w:line="590" w:lineRule="exact"/>
        <w:rPr>
          <w:rFonts w:eastAsia="Times New Roman"/>
          <w:snapToGrid w:val="0"/>
          <w:color w:val="000000"/>
          <w:sz w:val="32"/>
          <w:szCs w:val="32"/>
        </w:rPr>
      </w:pPr>
    </w:p>
    <w:p>
      <w:pPr>
        <w:spacing w:line="590" w:lineRule="exact"/>
        <w:jc w:val="both"/>
        <w:rPr>
          <w:rFonts w:ascii="?????_GBK" w:eastAsia="Times New Roman"/>
          <w:snapToGrid w:val="0"/>
          <w:color w:val="000000"/>
          <w:sz w:val="32"/>
          <w:szCs w:val="32"/>
        </w:rPr>
      </w:pPr>
    </w:p>
    <w:p>
      <w:pPr>
        <w:spacing w:line="590" w:lineRule="exact"/>
        <w:jc w:val="both"/>
        <w:rPr>
          <w:rFonts w:ascii="?????_GBK" w:eastAsia="Times New Roman"/>
          <w:snapToGrid w:val="0"/>
          <w:color w:val="000000"/>
          <w:sz w:val="32"/>
          <w:szCs w:val="32"/>
        </w:rPr>
      </w:pPr>
    </w:p>
    <w:p>
      <w:pPr>
        <w:spacing w:line="590" w:lineRule="exact"/>
        <w:jc w:val="both"/>
        <w:rPr>
          <w:rFonts w:ascii="?????_GBK" w:eastAsia="Times New Roman"/>
          <w:snapToGrid w:val="0"/>
          <w:color w:val="000000"/>
          <w:sz w:val="32"/>
          <w:szCs w:val="32"/>
        </w:rPr>
      </w:pPr>
    </w:p>
    <w:p>
      <w:pPr>
        <w:spacing w:line="590" w:lineRule="exact"/>
        <w:jc w:val="both"/>
        <w:rPr>
          <w:rFonts w:ascii="?????_GBK" w:eastAsia="Times New Roman"/>
          <w:snapToGrid w:val="0"/>
          <w:color w:val="000000"/>
          <w:sz w:val="32"/>
          <w:szCs w:val="32"/>
        </w:rPr>
      </w:pPr>
    </w:p>
    <w:p>
      <w:pPr>
        <w:spacing w:line="590" w:lineRule="exact"/>
        <w:jc w:val="both"/>
        <w:rPr>
          <w:rFonts w:ascii="?????_GBK" w:eastAsia="Times New Roman"/>
          <w:snapToGrid w:val="0"/>
          <w:color w:val="000000"/>
          <w:sz w:val="32"/>
          <w:szCs w:val="32"/>
        </w:rPr>
      </w:pPr>
    </w:p>
    <w:p>
      <w:pPr>
        <w:spacing w:line="590" w:lineRule="exact"/>
        <w:jc w:val="center"/>
        <w:rPr>
          <w:rFonts w:ascii="方正小标宋简体" w:hAnsi="黑体" w:eastAsia="方正小标宋简体"/>
          <w:sz w:val="44"/>
          <w:szCs w:val="44"/>
          <w:shd w:val="clear" w:color="auto" w:fill="FFFFFF"/>
        </w:rPr>
      </w:pPr>
      <w:r>
        <w:rPr>
          <w:rFonts w:hint="eastAsia" w:ascii="方正小标宋简体" w:hAnsi="黑体" w:eastAsia="方正小标宋简体"/>
          <w:sz w:val="44"/>
          <w:szCs w:val="44"/>
          <w:shd w:val="clear" w:color="auto" w:fill="FFFFFF"/>
        </w:rPr>
        <w:t>廉政风险点</w:t>
      </w:r>
    </w:p>
    <w:p>
      <w:pPr>
        <w:spacing w:line="240" w:lineRule="exact"/>
        <w:jc w:val="center"/>
        <w:rPr>
          <w:rFonts w:ascii="?????_GBK" w:eastAsia="Times New Roman"/>
          <w:shd w:val="clear" w:color="auto" w:fill="FFFFFF"/>
        </w:rPr>
      </w:pPr>
    </w:p>
    <w:tbl>
      <w:tblPr>
        <w:tblStyle w:val="8"/>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3374"/>
        <w:gridCol w:w="741"/>
        <w:gridCol w:w="2092"/>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bookmarkStart w:id="0" w:name="_GoBack"/>
            <w:r>
              <w:rPr>
                <w:rFonts w:hint="eastAsia" w:ascii="方正小标宋简体" w:eastAsia="方正小标宋简体"/>
                <w:bCs/>
                <w:sz w:val="28"/>
                <w:szCs w:val="28"/>
              </w:rPr>
              <w:t>风险点</w:t>
            </w:r>
          </w:p>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374"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2092"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954"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vMerge w:val="restart"/>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37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检查准备风险</w:t>
            </w:r>
            <w:r>
              <w:rPr>
                <w:rFonts w:ascii="宋体" w:hAnsi="宋体" w:cs="宋体"/>
                <w:kern w:val="0"/>
                <w:sz w:val="21"/>
                <w:szCs w:val="21"/>
              </w:rPr>
              <w:t>:</w:t>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）未按相关程序确定检查对象；（</w:t>
            </w:r>
            <w:r>
              <w:rPr>
                <w:rFonts w:ascii="宋体" w:hAnsi="宋体" w:cs="宋体"/>
                <w:kern w:val="0"/>
                <w:sz w:val="21"/>
                <w:szCs w:val="21"/>
              </w:rPr>
              <w:t>2</w:t>
            </w:r>
            <w:r>
              <w:rPr>
                <w:rFonts w:hint="eastAsia" w:ascii="宋体" w:hAnsi="宋体" w:cs="宋体"/>
                <w:kern w:val="0"/>
                <w:sz w:val="21"/>
                <w:szCs w:val="21"/>
              </w:rPr>
              <w:t>）对群众举报事项未按规定程序办理。</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低</w:t>
            </w:r>
          </w:p>
        </w:tc>
        <w:tc>
          <w:tcPr>
            <w:tcW w:w="209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制订工作计划或方案，并按规定程序报批；</w:t>
            </w:r>
            <w:r>
              <w:rPr>
                <w:rFonts w:ascii="宋体" w:hAnsi="宋体" w:cs="宋体"/>
                <w:kern w:val="0"/>
                <w:sz w:val="21"/>
                <w:szCs w:val="21"/>
              </w:rPr>
              <w:t>2.</w:t>
            </w:r>
            <w:r>
              <w:rPr>
                <w:rFonts w:hint="eastAsia" w:ascii="宋体" w:hAnsi="宋体" w:cs="宋体"/>
                <w:kern w:val="0"/>
                <w:sz w:val="21"/>
                <w:szCs w:val="21"/>
              </w:rPr>
              <w:t>对于举报案件严格按信访规定进行办理。</w:t>
            </w:r>
          </w:p>
        </w:tc>
        <w:tc>
          <w:tcPr>
            <w:tcW w:w="195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b/>
                <w:kern w:val="0"/>
                <w:sz w:val="21"/>
                <w:szCs w:val="21"/>
              </w:rPr>
            </w:pPr>
            <w:r>
              <w:rPr>
                <w:rFonts w:ascii="宋体" w:hAnsi="宋体" w:cs="宋体"/>
                <w:kern w:val="0"/>
                <w:sz w:val="21"/>
                <w:szCs w:val="21"/>
              </w:rPr>
              <w:t>XX</w:t>
            </w:r>
            <w:r>
              <w:rPr>
                <w:rFonts w:hint="eastAsia" w:ascii="宋体" w:hAnsi="宋体" w:cs="宋体"/>
                <w:kern w:val="0"/>
                <w:sz w:val="21"/>
                <w:szCs w:val="21"/>
              </w:rPr>
              <w:t>市人社局教育培训科经办人员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vMerge w:val="continue"/>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37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2.</w:t>
            </w:r>
            <w:r>
              <w:rPr>
                <w:rFonts w:hint="eastAsia" w:ascii="宋体" w:hAnsi="宋体" w:cs="宋体"/>
                <w:kern w:val="0"/>
                <w:sz w:val="21"/>
                <w:szCs w:val="21"/>
              </w:rPr>
              <w:t>检查实施风险</w:t>
            </w:r>
            <w:r>
              <w:rPr>
                <w:rFonts w:ascii="宋体" w:hAnsi="宋体" w:cs="宋体"/>
                <w:kern w:val="0"/>
                <w:sz w:val="21"/>
                <w:szCs w:val="21"/>
              </w:rPr>
              <w:t>:</w:t>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）违反规定程序实施检查的；（</w:t>
            </w:r>
            <w:r>
              <w:rPr>
                <w:rFonts w:ascii="宋体" w:hAnsi="宋体" w:cs="宋体"/>
                <w:kern w:val="0"/>
                <w:sz w:val="21"/>
                <w:szCs w:val="21"/>
              </w:rPr>
              <w:t>2</w:t>
            </w:r>
            <w:r>
              <w:rPr>
                <w:rFonts w:hint="eastAsia" w:ascii="宋体" w:hAnsi="宋体" w:cs="宋体"/>
                <w:kern w:val="0"/>
                <w:sz w:val="21"/>
                <w:szCs w:val="21"/>
              </w:rPr>
              <w:t>）玩忽职守，对知悉的财政、财务和会计违法行为未及时处置；（</w:t>
            </w:r>
            <w:r>
              <w:rPr>
                <w:rFonts w:ascii="宋体" w:hAnsi="宋体" w:cs="宋体"/>
                <w:kern w:val="0"/>
                <w:sz w:val="21"/>
                <w:szCs w:val="21"/>
              </w:rPr>
              <w:t>3</w:t>
            </w:r>
            <w:r>
              <w:rPr>
                <w:rFonts w:hint="eastAsia" w:ascii="宋体" w:hAnsi="宋体" w:cs="宋体"/>
                <w:kern w:val="0"/>
                <w:sz w:val="21"/>
                <w:szCs w:val="21"/>
              </w:rPr>
              <w:t>）泄露监督检查中知悉的国家秘密、商业秘密；（</w:t>
            </w:r>
            <w:r>
              <w:rPr>
                <w:rFonts w:ascii="宋体" w:hAnsi="宋体" w:cs="宋体"/>
                <w:kern w:val="0"/>
                <w:sz w:val="21"/>
                <w:szCs w:val="21"/>
              </w:rPr>
              <w:t>4</w:t>
            </w:r>
            <w:r>
              <w:rPr>
                <w:rFonts w:hint="eastAsia" w:ascii="宋体" w:hAnsi="宋体" w:cs="宋体"/>
                <w:kern w:val="0"/>
                <w:sz w:val="21"/>
                <w:szCs w:val="21"/>
              </w:rPr>
              <w:t>）利用监督检查工作之便谋取私利。</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209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严格执行检查程序和检查纪律；</w:t>
            </w:r>
            <w:r>
              <w:rPr>
                <w:rFonts w:ascii="宋体" w:hAnsi="宋体" w:cs="宋体"/>
                <w:kern w:val="0"/>
                <w:sz w:val="21"/>
                <w:szCs w:val="21"/>
              </w:rPr>
              <w:t>2.</w:t>
            </w:r>
            <w:r>
              <w:rPr>
                <w:rFonts w:hint="eastAsia" w:ascii="宋体" w:hAnsi="宋体" w:cs="宋体"/>
                <w:kern w:val="0"/>
                <w:sz w:val="21"/>
                <w:szCs w:val="21"/>
              </w:rPr>
              <w:t>加强对检查人员的教育培训和监管；</w:t>
            </w:r>
            <w:r>
              <w:rPr>
                <w:rFonts w:ascii="宋体" w:hAnsi="宋体" w:cs="宋体"/>
                <w:kern w:val="0"/>
                <w:sz w:val="21"/>
                <w:szCs w:val="21"/>
              </w:rPr>
              <w:t>3.</w:t>
            </w:r>
            <w:r>
              <w:rPr>
                <w:rFonts w:hint="eastAsia" w:ascii="宋体" w:hAnsi="宋体" w:cs="宋体"/>
                <w:kern w:val="0"/>
                <w:sz w:val="21"/>
                <w:szCs w:val="21"/>
              </w:rPr>
              <w:t>严格执行廉政纪律。</w:t>
            </w:r>
          </w:p>
        </w:tc>
        <w:tc>
          <w:tcPr>
            <w:tcW w:w="195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XX</w:t>
            </w:r>
            <w:r>
              <w:rPr>
                <w:rFonts w:hint="eastAsia" w:ascii="宋体" w:hAnsi="宋体" w:cs="宋体"/>
                <w:kern w:val="0"/>
                <w:sz w:val="21"/>
                <w:szCs w:val="21"/>
              </w:rPr>
              <w:t>市人社局教育培训科经办人员；检查组组长；教育培训科科长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vMerge w:val="continue"/>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37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3.</w:t>
            </w:r>
            <w:r>
              <w:rPr>
                <w:rFonts w:hint="eastAsia" w:ascii="宋体" w:hAnsi="宋体" w:cs="宋体"/>
                <w:kern w:val="0"/>
                <w:sz w:val="21"/>
                <w:szCs w:val="21"/>
              </w:rPr>
              <w:t>检查处理风险</w:t>
            </w:r>
            <w:r>
              <w:rPr>
                <w:rFonts w:ascii="宋体" w:hAnsi="宋体" w:cs="宋体"/>
                <w:kern w:val="0"/>
                <w:sz w:val="21"/>
                <w:szCs w:val="21"/>
              </w:rPr>
              <w:t>:</w:t>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）行政处理无依据；（</w:t>
            </w:r>
            <w:r>
              <w:rPr>
                <w:rFonts w:ascii="宋体" w:hAnsi="宋体" w:cs="宋体"/>
                <w:kern w:val="0"/>
                <w:sz w:val="21"/>
                <w:szCs w:val="21"/>
              </w:rPr>
              <w:t>2</w:t>
            </w:r>
            <w:r>
              <w:rPr>
                <w:rFonts w:hint="eastAsia" w:ascii="宋体" w:hAnsi="宋体" w:cs="宋体"/>
                <w:kern w:val="0"/>
                <w:sz w:val="21"/>
                <w:szCs w:val="21"/>
              </w:rPr>
              <w:t>）法律法规运用错误；（</w:t>
            </w:r>
            <w:r>
              <w:rPr>
                <w:rFonts w:ascii="宋体" w:hAnsi="宋体" w:cs="宋体"/>
                <w:kern w:val="0"/>
                <w:sz w:val="21"/>
                <w:szCs w:val="21"/>
              </w:rPr>
              <w:t>3</w:t>
            </w:r>
            <w:r>
              <w:rPr>
                <w:rFonts w:hint="eastAsia" w:ascii="宋体" w:hAnsi="宋体" w:cs="宋体"/>
                <w:kern w:val="0"/>
                <w:sz w:val="21"/>
                <w:szCs w:val="21"/>
              </w:rPr>
              <w:t>）对检查对象提出的事实、理由和证据，未进行复核；（</w:t>
            </w:r>
            <w:r>
              <w:rPr>
                <w:rFonts w:ascii="宋体" w:hAnsi="宋体" w:cs="宋体"/>
                <w:kern w:val="0"/>
                <w:sz w:val="21"/>
                <w:szCs w:val="21"/>
              </w:rPr>
              <w:t>4</w:t>
            </w:r>
            <w:r>
              <w:rPr>
                <w:rFonts w:hint="eastAsia" w:ascii="宋体" w:hAnsi="宋体" w:cs="宋体"/>
                <w:kern w:val="0"/>
                <w:sz w:val="21"/>
                <w:szCs w:val="21"/>
              </w:rPr>
              <w:t>）检查对象提出的事实、理由和证据成立，而未予采纳；（</w:t>
            </w:r>
            <w:r>
              <w:rPr>
                <w:rFonts w:ascii="宋体" w:hAnsi="宋体" w:cs="宋体"/>
                <w:kern w:val="0"/>
                <w:sz w:val="21"/>
                <w:szCs w:val="21"/>
              </w:rPr>
              <w:t>5</w:t>
            </w:r>
            <w:r>
              <w:rPr>
                <w:rFonts w:hint="eastAsia" w:ascii="宋体" w:hAnsi="宋体" w:cs="宋体"/>
                <w:kern w:val="0"/>
                <w:sz w:val="21"/>
                <w:szCs w:val="21"/>
              </w:rPr>
              <w:t>）处理决定中未告知对方依法申请行政复议或诉讼途径和期限。</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209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依据违法事实，严格细化检查处理适用的法律法规；</w:t>
            </w:r>
            <w:r>
              <w:rPr>
                <w:rFonts w:ascii="宋体" w:hAnsi="宋体" w:cs="宋体"/>
                <w:kern w:val="0"/>
                <w:sz w:val="21"/>
                <w:szCs w:val="21"/>
              </w:rPr>
              <w:t>2.</w:t>
            </w:r>
            <w:r>
              <w:rPr>
                <w:rFonts w:hint="eastAsia" w:ascii="宋体" w:hAnsi="宋体" w:cs="宋体"/>
                <w:kern w:val="0"/>
                <w:sz w:val="21"/>
                <w:szCs w:val="21"/>
              </w:rPr>
              <w:t>集体讨论，严格审批制度；</w:t>
            </w:r>
            <w:r>
              <w:rPr>
                <w:rFonts w:ascii="宋体" w:hAnsi="宋体" w:cs="宋体"/>
                <w:kern w:val="0"/>
                <w:sz w:val="21"/>
                <w:szCs w:val="21"/>
              </w:rPr>
              <w:t>3.</w:t>
            </w:r>
            <w:r>
              <w:rPr>
                <w:rFonts w:hint="eastAsia" w:ascii="宋体" w:hAnsi="宋体" w:cs="宋体"/>
                <w:kern w:val="0"/>
                <w:sz w:val="21"/>
                <w:szCs w:val="21"/>
              </w:rPr>
              <w:t>严格执行征求意见制度和审理复核制度。</w:t>
            </w:r>
          </w:p>
        </w:tc>
        <w:tc>
          <w:tcPr>
            <w:tcW w:w="195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XX</w:t>
            </w:r>
            <w:r>
              <w:rPr>
                <w:rFonts w:hint="eastAsia" w:ascii="宋体" w:hAnsi="宋体" w:cs="宋体"/>
                <w:kern w:val="0"/>
                <w:sz w:val="21"/>
                <w:szCs w:val="21"/>
              </w:rPr>
              <w:t>市人社局教育培训科经办人员；教育培训科科长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11" w:type="dxa"/>
            <w:vMerge w:val="continue"/>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37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4.</w:t>
            </w:r>
            <w:r>
              <w:rPr>
                <w:rFonts w:hint="eastAsia" w:ascii="宋体" w:hAnsi="宋体" w:cs="宋体"/>
                <w:kern w:val="0"/>
                <w:sz w:val="21"/>
                <w:szCs w:val="21"/>
              </w:rPr>
              <w:t>执行风险</w:t>
            </w:r>
            <w:r>
              <w:rPr>
                <w:rFonts w:ascii="宋体" w:hAnsi="宋体" w:cs="宋体"/>
                <w:kern w:val="0"/>
                <w:sz w:val="21"/>
                <w:szCs w:val="21"/>
              </w:rPr>
              <w:t>:</w:t>
            </w:r>
            <w:r>
              <w:rPr>
                <w:rFonts w:hint="eastAsia" w:ascii="宋体" w:hAnsi="宋体" w:cs="宋体"/>
                <w:kern w:val="0"/>
                <w:sz w:val="21"/>
                <w:szCs w:val="21"/>
              </w:rPr>
              <w:t>（</w:t>
            </w:r>
            <w:r>
              <w:rPr>
                <w:rFonts w:ascii="宋体" w:hAnsi="宋体" w:cs="宋体"/>
                <w:kern w:val="0"/>
                <w:sz w:val="21"/>
                <w:szCs w:val="21"/>
              </w:rPr>
              <w:t>1</w:t>
            </w:r>
            <w:r>
              <w:rPr>
                <w:rFonts w:hint="eastAsia" w:ascii="宋体" w:hAnsi="宋体" w:cs="宋体"/>
                <w:kern w:val="0"/>
                <w:sz w:val="21"/>
                <w:szCs w:val="21"/>
              </w:rPr>
              <w:t>）未履行处理决定送达程序；（</w:t>
            </w:r>
            <w:r>
              <w:rPr>
                <w:rFonts w:ascii="宋体" w:hAnsi="宋体" w:cs="宋体"/>
                <w:kern w:val="0"/>
                <w:sz w:val="21"/>
                <w:szCs w:val="21"/>
              </w:rPr>
              <w:t>2</w:t>
            </w:r>
            <w:r>
              <w:rPr>
                <w:rFonts w:hint="eastAsia" w:ascii="宋体" w:hAnsi="宋体" w:cs="宋体"/>
                <w:kern w:val="0"/>
                <w:sz w:val="21"/>
                <w:szCs w:val="21"/>
              </w:rPr>
              <w:t>）检查对象对已作出处理决定不执行、不及时执行，未予跟踪监督。</w:t>
            </w:r>
          </w:p>
        </w:tc>
        <w:tc>
          <w:tcPr>
            <w:tcW w:w="741" w:type="dxa"/>
            <w:tcMar>
              <w:top w:w="57" w:type="dxa"/>
              <w:bottom w:w="57" w:type="dxa"/>
            </w:tcMar>
            <w:vAlign w:val="center"/>
          </w:tcPr>
          <w:p>
            <w:pPr>
              <w:keepNext w:val="0"/>
              <w:keepLines w:val="0"/>
              <w:pageBreakBefore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低</w:t>
            </w:r>
          </w:p>
        </w:tc>
        <w:tc>
          <w:tcPr>
            <w:tcW w:w="209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1.</w:t>
            </w:r>
            <w:r>
              <w:rPr>
                <w:rFonts w:hint="eastAsia" w:ascii="宋体" w:hAnsi="宋体" w:cs="宋体"/>
                <w:kern w:val="0"/>
                <w:sz w:val="21"/>
                <w:szCs w:val="21"/>
              </w:rPr>
              <w:t>严格执行送达程序；</w:t>
            </w:r>
            <w:r>
              <w:rPr>
                <w:rFonts w:ascii="宋体" w:hAnsi="宋体" w:cs="宋体"/>
                <w:kern w:val="0"/>
                <w:sz w:val="21"/>
                <w:szCs w:val="21"/>
              </w:rPr>
              <w:t>2.</w:t>
            </w:r>
            <w:r>
              <w:rPr>
                <w:rFonts w:hint="eastAsia" w:ascii="宋体" w:hAnsi="宋体" w:cs="宋体"/>
                <w:kern w:val="0"/>
                <w:sz w:val="21"/>
                <w:szCs w:val="21"/>
              </w:rPr>
              <w:t>加强对检查对象整改落实情况报告报送情况跟踪督促；</w:t>
            </w:r>
            <w:r>
              <w:rPr>
                <w:rFonts w:ascii="宋体" w:hAnsi="宋体" w:cs="宋体"/>
                <w:kern w:val="0"/>
                <w:sz w:val="21"/>
                <w:szCs w:val="21"/>
              </w:rPr>
              <w:t>3.</w:t>
            </w:r>
            <w:r>
              <w:rPr>
                <w:rFonts w:hint="eastAsia" w:ascii="宋体" w:hAnsi="宋体" w:cs="宋体"/>
                <w:kern w:val="0"/>
                <w:sz w:val="21"/>
                <w:szCs w:val="21"/>
              </w:rPr>
              <w:t>对检查对象进行回访，对检查结果进行抽查，加强对执行情况的监督。</w:t>
            </w:r>
          </w:p>
        </w:tc>
        <w:tc>
          <w:tcPr>
            <w:tcW w:w="1954"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kern w:val="0"/>
                <w:sz w:val="21"/>
                <w:szCs w:val="21"/>
              </w:rPr>
            </w:pPr>
            <w:r>
              <w:rPr>
                <w:rFonts w:ascii="宋体" w:hAnsi="宋体" w:cs="宋体"/>
                <w:kern w:val="0"/>
                <w:sz w:val="21"/>
                <w:szCs w:val="21"/>
              </w:rPr>
              <w:t>XX</w:t>
            </w:r>
            <w:r>
              <w:rPr>
                <w:rFonts w:hint="eastAsia" w:ascii="宋体" w:hAnsi="宋体" w:cs="宋体"/>
                <w:kern w:val="0"/>
                <w:sz w:val="21"/>
                <w:szCs w:val="21"/>
              </w:rPr>
              <w:t>市人社局教育培训科经办人员；教育培训科科长</w:t>
            </w:r>
          </w:p>
        </w:tc>
      </w:tr>
      <w:bookmarkEnd w:id="0"/>
    </w:tbl>
    <w:p>
      <w:pPr>
        <w:pStyle w:val="4"/>
        <w:tabs>
          <w:tab w:val="left" w:pos="7680"/>
          <w:tab w:val="left" w:pos="8000"/>
          <w:tab w:val="left" w:pos="8160"/>
        </w:tabs>
        <w:spacing w:line="320" w:lineRule="exact"/>
        <w:ind w:left="933" w:hanging="651"/>
        <w:rPr>
          <w:rFonts w:ascii="方正书宋_GBK" w:eastAsia="方正书宋_GBK"/>
          <w:sz w:val="21"/>
          <w:szCs w:val="21"/>
        </w:rPr>
      </w:pPr>
    </w:p>
    <w:p>
      <w:pPr>
        <w:tabs>
          <w:tab w:val="left" w:pos="0"/>
        </w:tabs>
        <w:adjustRightInd w:val="0"/>
        <w:snapToGrid w:val="0"/>
        <w:spacing w:line="560" w:lineRule="exact"/>
        <w:ind w:left="1760" w:hanging="1760" w:hangingChars="550"/>
        <w:rPr>
          <w:rFonts w:ascii="仿宋" w:hAnsi="仿宋" w:eastAsia="仿宋"/>
          <w:b/>
          <w:snapToGrid w:val="0"/>
          <w:color w:val="000000"/>
          <w:sz w:val="32"/>
          <w:szCs w:val="32"/>
        </w:rPr>
      </w:pPr>
      <w:r>
        <w:rPr>
          <w:rStyle w:val="7"/>
          <w:rFonts w:hint="eastAsia" w:ascii="仿宋" w:hAnsi="仿宋" w:eastAsia="仿宋"/>
          <w:b w:val="0"/>
          <w:color w:val="000000"/>
          <w:sz w:val="32"/>
          <w:szCs w:val="32"/>
        </w:rPr>
        <w:t>附件：</w:t>
      </w:r>
      <w:r>
        <w:rPr>
          <w:rStyle w:val="7"/>
          <w:rFonts w:hint="eastAsia" w:ascii="仿宋" w:hAnsi="仿宋" w:eastAsia="仿宋"/>
          <w:b w:val="0"/>
          <w:color w:val="000000"/>
          <w:sz w:val="32"/>
          <w:szCs w:val="32"/>
          <w:lang w:eastAsia="zh-CN"/>
        </w:rPr>
        <w:t>65-</w:t>
      </w:r>
      <w:r>
        <w:rPr>
          <w:rStyle w:val="7"/>
          <w:rFonts w:ascii="仿宋" w:hAnsi="仿宋" w:eastAsia="仿宋"/>
          <w:b w:val="0"/>
          <w:color w:val="000000"/>
          <w:sz w:val="32"/>
          <w:szCs w:val="32"/>
        </w:rPr>
        <w:t>1.</w:t>
      </w:r>
      <w:r>
        <w:rPr>
          <w:rStyle w:val="7"/>
          <w:rFonts w:hint="eastAsia" w:ascii="仿宋" w:hAnsi="仿宋" w:eastAsia="仿宋"/>
          <w:b w:val="0"/>
          <w:color w:val="000000"/>
          <w:sz w:val="32"/>
          <w:szCs w:val="32"/>
        </w:rPr>
        <w:t>民办职业学校（含教学、培训机构）评估流程图</w:t>
      </w:r>
    </w:p>
    <w:p>
      <w:pPr>
        <w:spacing w:line="600" w:lineRule="exact"/>
        <w:jc w:val="left"/>
        <w:rPr>
          <w:rFonts w:ascii="黑体" w:hAnsi="黑体" w:eastAsia="黑体"/>
          <w:color w:val="000000"/>
          <w:sz w:val="32"/>
          <w:szCs w:val="32"/>
        </w:rPr>
      </w:pPr>
      <w:r>
        <w:rPr>
          <w:rFonts w:eastAsia="Times New Roman"/>
          <w:snapToGrid w:val="0"/>
          <w:color w:val="000000"/>
          <w:sz w:val="32"/>
          <w:szCs w:val="32"/>
        </w:rPr>
        <w:br w:type="page"/>
      </w:r>
      <w:r>
        <w:rPr>
          <w:rFonts w:hint="eastAsia" w:ascii="黑体" w:hAnsi="黑体" w:eastAsia="黑体"/>
          <w:color w:val="000000"/>
          <w:sz w:val="32"/>
          <w:szCs w:val="32"/>
        </w:rPr>
        <w:t>附件</w:t>
      </w:r>
      <w:r>
        <w:rPr>
          <w:rFonts w:hint="eastAsia" w:ascii="黑体" w:hAnsi="黑体" w:eastAsia="黑体"/>
          <w:color w:val="000000"/>
          <w:sz w:val="32"/>
          <w:szCs w:val="32"/>
          <w:lang w:eastAsia="zh-CN"/>
        </w:rPr>
        <w:t>65-</w:t>
      </w:r>
      <w:r>
        <w:rPr>
          <w:rFonts w:ascii="黑体" w:hAnsi="黑体" w:eastAsia="黑体"/>
          <w:color w:val="000000"/>
          <w:sz w:val="32"/>
          <w:szCs w:val="32"/>
        </w:rPr>
        <w:t>1</w:t>
      </w:r>
    </w:p>
    <w:p>
      <w:pPr>
        <w:spacing w:line="600" w:lineRule="exact"/>
        <w:jc w:val="left"/>
        <w:rPr>
          <w:rFonts w:ascii="黑体" w:eastAsia="黑体"/>
          <w:color w:val="000000"/>
        </w:rPr>
      </w:pPr>
    </w:p>
    <w:p>
      <w:pPr>
        <w:tabs>
          <w:tab w:val="left" w:pos="0"/>
        </w:tabs>
        <w:adjustRightInd w:val="0"/>
        <w:snapToGrid w:val="0"/>
        <w:spacing w:line="590" w:lineRule="exact"/>
        <w:jc w:val="center"/>
        <w:rPr>
          <w:rFonts w:ascii="方正小标宋简体" w:hAnsi="仿宋_GB2312" w:eastAsia="方正小标宋简体"/>
          <w:sz w:val="44"/>
          <w:szCs w:val="44"/>
        </w:rPr>
      </w:pPr>
      <w:r>
        <w:rPr>
          <w:rFonts w:hint="eastAsia" w:ascii="方正小标宋简体" w:hAnsi="仿宋_GB2312" w:eastAsia="方正小标宋简体"/>
          <w:sz w:val="44"/>
          <w:szCs w:val="44"/>
        </w:rPr>
        <w:t>民办职业学校（含教学、培训机构）评估</w:t>
      </w:r>
    </w:p>
    <w:p>
      <w:pPr>
        <w:tabs>
          <w:tab w:val="left" w:pos="0"/>
        </w:tabs>
        <w:adjustRightInd w:val="0"/>
        <w:snapToGrid w:val="0"/>
        <w:spacing w:line="590" w:lineRule="exact"/>
        <w:jc w:val="center"/>
        <w:rPr>
          <w:rFonts w:ascii="?????_GBK" w:hAnsi="仿宋_GB2312" w:eastAsia="Times New Roman"/>
          <w:sz w:val="44"/>
          <w:szCs w:val="44"/>
        </w:rPr>
      </w:pPr>
      <w:r>
        <w:rPr>
          <w:rFonts w:hint="eastAsia" w:ascii="方正小标宋简体" w:hAnsi="仿宋_GB2312" w:eastAsia="方正小标宋简体"/>
          <w:sz w:val="44"/>
          <w:szCs w:val="44"/>
        </w:rPr>
        <w:t>流程图</w:t>
      </w:r>
    </w:p>
    <w:p>
      <w:pPr>
        <w:tabs>
          <w:tab w:val="left" w:pos="0"/>
        </w:tabs>
        <w:adjustRightInd w:val="0"/>
        <w:snapToGrid w:val="0"/>
        <w:spacing w:line="590" w:lineRule="exact"/>
        <w:jc w:val="center"/>
        <w:rPr>
          <w:rFonts w:ascii="?????_GBK" w:hAnsi="仿宋_GB2312" w:eastAsia="Times New Roman"/>
          <w:sz w:val="44"/>
          <w:szCs w:val="44"/>
        </w:rPr>
      </w:pPr>
    </w:p>
    <w:p>
      <w:pPr>
        <w:tabs>
          <w:tab w:val="left" w:pos="0"/>
        </w:tabs>
        <w:adjustRightInd w:val="0"/>
        <w:snapToGrid w:val="0"/>
        <w:spacing w:line="590" w:lineRule="exact"/>
        <w:jc w:val="center"/>
        <w:rPr>
          <w:rFonts w:ascii="?????_GBK" w:hAnsi="仿宋_GB2312" w:eastAsia="Times New Roman"/>
          <w:sz w:val="44"/>
          <w:szCs w:val="44"/>
        </w:rPr>
      </w:pPr>
      <w:r>
        <w:pict>
          <v:rect id="矩形 3" o:spid="_x0000_s1026" o:spt="1" style="position:absolute;left:0pt;margin-left:151.15pt;margin-top:21.6pt;height:37.75pt;width:127.95pt;z-index:1024;v-text-anchor:middle;mso-width-relative:page;mso-height-relative:page;" fillcolor="#ACA899" filled="f" coordsize="21600,21600">
            <v:path/>
            <v:fill on="f" focussize="0,0"/>
            <v:stroke weight="1pt"/>
            <v:imagedata o:title=""/>
            <o:lock v:ext="edit"/>
            <v:textbox>
              <w:txbxContent>
                <w:p>
                  <w:pPr>
                    <w:spacing w:line="300" w:lineRule="exact"/>
                    <w:jc w:val="center"/>
                    <w:rPr>
                      <w:rFonts w:ascii="宋体"/>
                      <w:color w:val="000000"/>
                      <w:sz w:val="21"/>
                      <w:szCs w:val="21"/>
                    </w:rPr>
                  </w:pPr>
                  <w:r>
                    <w:rPr>
                      <w:rFonts w:hint="eastAsia" w:ascii="宋体" w:hAnsi="宋体"/>
                      <w:color w:val="000000"/>
                      <w:sz w:val="21"/>
                      <w:szCs w:val="21"/>
                    </w:rPr>
                    <w:t>印发评估通知</w:t>
                  </w:r>
                </w:p>
              </w:txbxContent>
            </v:textbox>
          </v:rect>
        </w:pict>
      </w:r>
    </w:p>
    <w:p>
      <w:pPr>
        <w:pStyle w:val="12"/>
        <w:widowControl w:val="0"/>
        <w:adjustRightInd w:val="0"/>
        <w:snapToGrid w:val="0"/>
        <w:spacing w:line="590" w:lineRule="exact"/>
        <w:rPr>
          <w:rFonts w:eastAsia="Times New Roman"/>
          <w:snapToGrid w:val="0"/>
          <w:color w:val="000000"/>
          <w:sz w:val="32"/>
          <w:szCs w:val="32"/>
        </w:rPr>
      </w:pPr>
    </w:p>
    <w:p>
      <w:r>
        <w:pict>
          <v:rect id="_x0000_s1027" o:spid="_x0000_s1027" o:spt="1" style="position:absolute;left:0pt;margin-left:94.3pt;margin-top:148.4pt;height:37.75pt;width:243.15pt;z-index:1024;v-text-anchor:middle;mso-width-relative:page;mso-height-relative:page;" fillcolor="#ACA899" filled="f" coordsize="21600,21600">
            <v:path/>
            <v:fill on="f" focussize="0,0"/>
            <v:stroke weight="1pt"/>
            <v:imagedata o:title=""/>
            <o:lock v:ext="edit"/>
            <v:textbox>
              <w:txbxContent>
                <w:p>
                  <w:pPr>
                    <w:spacing w:line="300" w:lineRule="exact"/>
                    <w:jc w:val="center"/>
                    <w:rPr>
                      <w:rFonts w:ascii="宋体"/>
                      <w:color w:val="000000"/>
                      <w:sz w:val="21"/>
                      <w:szCs w:val="21"/>
                    </w:rPr>
                  </w:pPr>
                  <w:r>
                    <w:rPr>
                      <w:rFonts w:hint="eastAsia" w:ascii="宋体" w:hAnsi="宋体"/>
                      <w:color w:val="000000"/>
                      <w:sz w:val="21"/>
                      <w:szCs w:val="21"/>
                    </w:rPr>
                    <w:t>由局领导签发评估合格名单</w:t>
                  </w:r>
                </w:p>
              </w:txbxContent>
            </v:textbox>
          </v:rect>
        </w:pict>
      </w:r>
      <w:r>
        <w:pict>
          <v:shape id="_x0000_s1028" o:spid="_x0000_s1028" o:spt="32" type="#_x0000_t32" style="position:absolute;left:0pt;margin-left:216.85pt;margin-top:121.25pt;height:22.7pt;width:0.05pt;z-index:1024;mso-width-relative:page;mso-height-relative:page;" o:connectortype="straight" filled="f" coordsize="21600,21600">
            <v:path arrowok="t"/>
            <v:fill on="f" focussize="0,0"/>
            <v:stroke endarrow="block"/>
            <v:imagedata o:title=""/>
            <o:lock v:ext="edit"/>
          </v:shape>
        </w:pict>
      </w:r>
      <w:r>
        <w:pict>
          <v:rect id="_x0000_s1029" o:spid="_x0000_s1029" o:spt="1" style="position:absolute;left:0pt;margin-left:90.7pt;margin-top:83.5pt;height:37.75pt;width:243.15pt;z-index:1024;v-text-anchor:middle;mso-width-relative:page;mso-height-relative:page;" fillcolor="#ACA899" filled="f" coordsize="21600,21600">
            <v:path/>
            <v:fill on="f" focussize="0,0"/>
            <v:stroke weight="1pt"/>
            <v:imagedata o:title=""/>
            <o:lock v:ext="edit"/>
            <v:textbox>
              <w:txbxContent>
                <w:p>
                  <w:pPr>
                    <w:spacing w:line="300" w:lineRule="exact"/>
                    <w:jc w:val="center"/>
                    <w:rPr>
                      <w:rFonts w:ascii="宋体"/>
                      <w:color w:val="000000"/>
                      <w:sz w:val="21"/>
                      <w:szCs w:val="21"/>
                    </w:rPr>
                  </w:pPr>
                  <w:r>
                    <w:rPr>
                      <w:rFonts w:hint="eastAsia" w:ascii="宋体" w:hAnsi="宋体"/>
                      <w:color w:val="000000"/>
                      <w:sz w:val="21"/>
                      <w:szCs w:val="21"/>
                    </w:rPr>
                    <w:t>由教育培训科组织人员开展评估，形成评估报告</w:t>
                  </w:r>
                </w:p>
              </w:txbxContent>
            </v:textbox>
          </v:rect>
        </w:pict>
      </w:r>
      <w:r>
        <w:pict>
          <v:shape id="_x0000_s1030" o:spid="_x0000_s1030" o:spt="32" type="#_x0000_t32" style="position:absolute;left:0pt;margin-left:216.9pt;margin-top:60.8pt;height:22.7pt;width:0.05pt;z-index:1024;mso-width-relative:page;mso-height-relative:page;" o:connectortype="straight" filled="f" coordsize="21600,21600">
            <v:path arrowok="t"/>
            <v:fill on="f" focussize="0,0"/>
            <v:stroke endarrow="block"/>
            <v:imagedata o:title=""/>
            <o:lock v:ext="edit"/>
          </v:shape>
        </w:pict>
      </w:r>
      <w:r>
        <w:pict>
          <v:rect id="_x0000_s1031" o:spid="_x0000_s1031" o:spt="1" style="position:absolute;left:0pt;margin-left:151.15pt;margin-top:23.05pt;height:37.75pt;width:127.95pt;z-index:1024;v-text-anchor:middle;mso-width-relative:page;mso-height-relative:page;" fillcolor="#ACA899" filled="f" coordsize="21600,21600">
            <v:path/>
            <v:fill on="f" focussize="0,0"/>
            <v:stroke weight="1pt"/>
            <v:imagedata o:title=""/>
            <o:lock v:ext="edit"/>
            <v:textbox>
              <w:txbxContent>
                <w:p>
                  <w:pPr>
                    <w:spacing w:line="300" w:lineRule="exact"/>
                    <w:jc w:val="center"/>
                    <w:rPr>
                      <w:rFonts w:ascii="宋体"/>
                      <w:color w:val="000000"/>
                      <w:sz w:val="21"/>
                      <w:szCs w:val="21"/>
                    </w:rPr>
                  </w:pPr>
                  <w:r>
                    <w:rPr>
                      <w:rFonts w:hint="eastAsia" w:ascii="宋体" w:hAnsi="宋体"/>
                      <w:color w:val="000000"/>
                      <w:sz w:val="21"/>
                      <w:szCs w:val="21"/>
                    </w:rPr>
                    <w:t>评估对象报送评估材料</w:t>
                  </w:r>
                </w:p>
              </w:txbxContent>
            </v:textbox>
          </v:rect>
        </w:pict>
      </w:r>
      <w:r>
        <w:pict>
          <v:shape id="自选图形 152" o:spid="_x0000_s1032" o:spt="32" type="#_x0000_t32" style="position:absolute;left:0pt;margin-left:216.95pt;margin-top:0.35pt;height:22.7pt;width:0.05pt;z-index:1024;mso-width-relative:page;mso-height-relative:page;" o:connectortype="straight" filled="f" coordsize="21600,21600">
            <v:path arrowok="t"/>
            <v:fill on="f" focussize="0,0"/>
            <v:stroke endarrow="block"/>
            <v:imagedata o:title=""/>
            <o:lock v:ext="edit"/>
          </v:shape>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_GBK">
    <w:altName w:val="Times New Roman"/>
    <w:panose1 w:val="00000000000000000000"/>
    <w:charset w:val="00"/>
    <w:family w:val="auto"/>
    <w:pitch w:val="default"/>
    <w:sig w:usb0="00000000" w:usb1="00000000" w:usb2="00000000" w:usb3="00000000" w:csb0="00000001" w:csb1="00000000"/>
  </w:font>
  <w:font w:name="方正小标宋简体">
    <w:altName w:val="Arial Unicode MS"/>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方正书宋_GBK">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771E"/>
    <w:rsid w:val="000314E1"/>
    <w:rsid w:val="00065B0B"/>
    <w:rsid w:val="00086D57"/>
    <w:rsid w:val="000B37C5"/>
    <w:rsid w:val="000D3247"/>
    <w:rsid w:val="000D6C01"/>
    <w:rsid w:val="00107516"/>
    <w:rsid w:val="0012058E"/>
    <w:rsid w:val="001360F8"/>
    <w:rsid w:val="00174242"/>
    <w:rsid w:val="001B4544"/>
    <w:rsid w:val="001F165F"/>
    <w:rsid w:val="0021372C"/>
    <w:rsid w:val="002407E3"/>
    <w:rsid w:val="00252301"/>
    <w:rsid w:val="0027465A"/>
    <w:rsid w:val="00285720"/>
    <w:rsid w:val="00292708"/>
    <w:rsid w:val="002A2647"/>
    <w:rsid w:val="003320BB"/>
    <w:rsid w:val="0033444A"/>
    <w:rsid w:val="0038479A"/>
    <w:rsid w:val="00385906"/>
    <w:rsid w:val="00397672"/>
    <w:rsid w:val="003A2937"/>
    <w:rsid w:val="003F2962"/>
    <w:rsid w:val="00433C11"/>
    <w:rsid w:val="00474342"/>
    <w:rsid w:val="00492FD5"/>
    <w:rsid w:val="00526976"/>
    <w:rsid w:val="00557606"/>
    <w:rsid w:val="005D1AB2"/>
    <w:rsid w:val="005E38C7"/>
    <w:rsid w:val="006170D1"/>
    <w:rsid w:val="0063091B"/>
    <w:rsid w:val="00647B29"/>
    <w:rsid w:val="00652728"/>
    <w:rsid w:val="006547E5"/>
    <w:rsid w:val="00661804"/>
    <w:rsid w:val="006B1CAA"/>
    <w:rsid w:val="007226C3"/>
    <w:rsid w:val="00724C7A"/>
    <w:rsid w:val="00787E34"/>
    <w:rsid w:val="007C62B6"/>
    <w:rsid w:val="0081601C"/>
    <w:rsid w:val="0085017F"/>
    <w:rsid w:val="00871BE0"/>
    <w:rsid w:val="008B6F74"/>
    <w:rsid w:val="008C0D70"/>
    <w:rsid w:val="008E1384"/>
    <w:rsid w:val="008F2E50"/>
    <w:rsid w:val="00944BF7"/>
    <w:rsid w:val="009472AD"/>
    <w:rsid w:val="00957014"/>
    <w:rsid w:val="00970A12"/>
    <w:rsid w:val="009816FB"/>
    <w:rsid w:val="009B679E"/>
    <w:rsid w:val="009D4087"/>
    <w:rsid w:val="00A40AE4"/>
    <w:rsid w:val="00A46548"/>
    <w:rsid w:val="00A504AC"/>
    <w:rsid w:val="00B55C32"/>
    <w:rsid w:val="00B62884"/>
    <w:rsid w:val="00B6506D"/>
    <w:rsid w:val="00B85217"/>
    <w:rsid w:val="00B91B76"/>
    <w:rsid w:val="00B954CF"/>
    <w:rsid w:val="00BA7FE7"/>
    <w:rsid w:val="00BB7F15"/>
    <w:rsid w:val="00BE3102"/>
    <w:rsid w:val="00C008E8"/>
    <w:rsid w:val="00C12DF4"/>
    <w:rsid w:val="00C37438"/>
    <w:rsid w:val="00CB28DB"/>
    <w:rsid w:val="00CB48D3"/>
    <w:rsid w:val="00CF6D57"/>
    <w:rsid w:val="00D439B2"/>
    <w:rsid w:val="00DD509C"/>
    <w:rsid w:val="00E17FF7"/>
    <w:rsid w:val="00E20CA2"/>
    <w:rsid w:val="00E265CB"/>
    <w:rsid w:val="00E55826"/>
    <w:rsid w:val="00E568E0"/>
    <w:rsid w:val="00E626E3"/>
    <w:rsid w:val="00E638A6"/>
    <w:rsid w:val="00E77CB7"/>
    <w:rsid w:val="00E83F55"/>
    <w:rsid w:val="00EA16FC"/>
    <w:rsid w:val="00EC55CD"/>
    <w:rsid w:val="00ED5E5E"/>
    <w:rsid w:val="00ED771E"/>
    <w:rsid w:val="00EE694B"/>
    <w:rsid w:val="00F0259E"/>
    <w:rsid w:val="00F06ED5"/>
    <w:rsid w:val="00F36AEE"/>
    <w:rsid w:val="00F41B2C"/>
    <w:rsid w:val="00F4622C"/>
    <w:rsid w:val="00F71F4F"/>
    <w:rsid w:val="00F91825"/>
    <w:rsid w:val="00FE247C"/>
    <w:rsid w:val="4C966099"/>
    <w:rsid w:val="54B72870"/>
    <w:rsid w:val="58211F82"/>
    <w:rsid w:val="5D7E1855"/>
    <w:rsid w:val="7F66797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_x0000_s1030"/>
        <o:r id="V:Rule3" type="connector" idref="#自选图形 15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9"/>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4">
    <w:name w:val="Body Text Indent 3"/>
    <w:basedOn w:val="1"/>
    <w:link w:val="11"/>
    <w:qFormat/>
    <w:uiPriority w:val="99"/>
    <w:pPr>
      <w:spacing w:line="560" w:lineRule="exact"/>
      <w:ind w:left="1150" w:leftChars="94" w:hanging="868" w:hangingChars="310"/>
    </w:pPr>
    <w:rPr>
      <w:rFonts w:ascii="????_GBK" w:eastAsia="Times New Roman"/>
      <w:color w:val="000000"/>
      <w:sz w:val="28"/>
      <w:szCs w:val="2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99"/>
    <w:rPr>
      <w:rFonts w:cs="Times New Roman"/>
      <w:b/>
      <w:bCs/>
    </w:rPr>
  </w:style>
  <w:style w:type="character" w:customStyle="1" w:styleId="9">
    <w:name w:val="页眉 Char"/>
    <w:basedOn w:val="6"/>
    <w:link w:val="3"/>
    <w:semiHidden/>
    <w:qFormat/>
    <w:locked/>
    <w:uiPriority w:val="99"/>
    <w:rPr>
      <w:rFonts w:cs="Times New Roman"/>
      <w:sz w:val="18"/>
      <w:szCs w:val="18"/>
    </w:rPr>
  </w:style>
  <w:style w:type="character" w:customStyle="1" w:styleId="10">
    <w:name w:val="页脚 Char"/>
    <w:basedOn w:val="6"/>
    <w:link w:val="2"/>
    <w:semiHidden/>
    <w:qFormat/>
    <w:locked/>
    <w:uiPriority w:val="99"/>
    <w:rPr>
      <w:rFonts w:cs="Times New Roman"/>
      <w:sz w:val="18"/>
      <w:szCs w:val="18"/>
    </w:rPr>
  </w:style>
  <w:style w:type="character" w:customStyle="1" w:styleId="11">
    <w:name w:val="正文文本缩进 3 Char"/>
    <w:basedOn w:val="6"/>
    <w:link w:val="4"/>
    <w:qFormat/>
    <w:locked/>
    <w:uiPriority w:val="99"/>
    <w:rPr>
      <w:rFonts w:ascii="????_GBK" w:hAnsi="Times New Roman" w:eastAsia="Times New Roman" w:cs="Times New Roman"/>
      <w:color w:val="000000"/>
      <w:sz w:val="28"/>
      <w:szCs w:val="28"/>
    </w:rPr>
  </w:style>
  <w:style w:type="paragraph" w:customStyle="1" w:styleId="12">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300</Words>
  <Characters>1714</Characters>
  <Lines>14</Lines>
  <Paragraphs>4</Paragraphs>
  <ScaleCrop>false</ScaleCrop>
  <LinksUpToDate>false</LinksUpToDate>
  <CharactersWithSpaces>2010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2017-05-11T08:13:00Z</dcterms:created>
  <dc:creator>Administrator</dc:creator>
  <cp:lastModifiedBy>5170</cp:lastModifiedBy>
  <dcterms:modified xsi:type="dcterms:W3CDTF">2017-12-01T09:16:24Z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