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olor w:val="000000"/>
          <w:sz w:val="32"/>
          <w:szCs w:val="32"/>
        </w:rPr>
      </w:pPr>
      <w:bookmarkStart w:id="0" w:name="_GoBack"/>
      <w:bookmarkEnd w:id="0"/>
      <w:r>
        <w:rPr>
          <w:rFonts w:hint="eastAsia" w:ascii="方正小标宋简体" w:eastAsia="方正小标宋简体" w:cs="仿宋_GB2312"/>
          <w:sz w:val="32"/>
          <w:szCs w:val="32"/>
        </w:rPr>
        <w:t>行政权力事项实施清单</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center"/>
        <w:textAlignment w:val="auto"/>
        <w:outlineLvl w:val="9"/>
        <w:rPr>
          <w:rFonts w:ascii="?????_GBK" w:eastAsia="Times New Roman"/>
          <w:color w:val="000000"/>
          <w:sz w:val="44"/>
          <w:szCs w:val="44"/>
          <w:shd w:val="clear" w:color="auto" w:fill="FFFFFF"/>
        </w:rPr>
      </w:pP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center"/>
        <w:textAlignment w:val="auto"/>
        <w:outlineLvl w:val="9"/>
        <w:rPr>
          <w:rFonts w:ascii="方正小标宋简体" w:eastAsia="方正小标宋简体"/>
          <w:color w:val="000000"/>
          <w:sz w:val="44"/>
          <w:szCs w:val="44"/>
          <w:shd w:val="clear" w:color="auto" w:fill="FFFFFF"/>
        </w:rPr>
      </w:pPr>
      <w:r>
        <w:rPr>
          <w:rFonts w:ascii="方正小标宋简体" w:eastAsia="方正小标宋简体"/>
          <w:color w:val="000000"/>
          <w:sz w:val="44"/>
          <w:szCs w:val="44"/>
          <w:shd w:val="clear" w:color="auto" w:fill="FFFFFF"/>
        </w:rPr>
        <w:t>62.</w:t>
      </w:r>
      <w:r>
        <w:rPr>
          <w:rFonts w:hint="eastAsia" w:ascii="方正小标宋简体" w:eastAsia="方正小标宋简体"/>
          <w:color w:val="000000"/>
          <w:sz w:val="44"/>
          <w:szCs w:val="44"/>
          <w:shd w:val="clear" w:color="auto" w:fill="FFFFFF"/>
        </w:rPr>
        <w:t>对用人单位和个人遵守社会保险法律、</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center"/>
        <w:textAlignment w:val="auto"/>
        <w:outlineLvl w:val="9"/>
        <w:rPr>
          <w:rFonts w:ascii="方正小标宋简体" w:eastAsia="方正小标宋简体"/>
          <w:color w:val="000000"/>
          <w:sz w:val="44"/>
          <w:szCs w:val="44"/>
          <w:shd w:val="clear" w:color="auto" w:fill="FFFFFF"/>
        </w:rPr>
      </w:pPr>
      <w:r>
        <w:rPr>
          <w:rFonts w:hint="eastAsia" w:ascii="方正小标宋简体" w:eastAsia="方正小标宋简体"/>
          <w:color w:val="000000"/>
          <w:sz w:val="44"/>
          <w:szCs w:val="44"/>
          <w:shd w:val="clear" w:color="auto" w:fill="FFFFFF"/>
        </w:rPr>
        <w:t>法规的情况开展监督检查</w:t>
      </w:r>
    </w:p>
    <w:tbl>
      <w:tblPr>
        <w:tblStyle w:val="8"/>
        <w:tblpPr w:leftFromText="180" w:rightFromText="180" w:vertAnchor="text" w:horzAnchor="page" w:tblpX="1498" w:tblpY="224"/>
        <w:tblOverlap w:val="never"/>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1343"/>
        <w:gridCol w:w="1417"/>
        <w:gridCol w:w="5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51" w:type="dxa"/>
            <w:gridSpan w:val="2"/>
            <w:tcMar>
              <w:top w:w="57" w:type="dxa"/>
              <w:bottom w:w="57" w:type="dxa"/>
            </w:tcMar>
            <w:vAlign w:val="center"/>
          </w:tcPr>
          <w:p>
            <w:pPr>
              <w:adjustRightInd w:val="0"/>
              <w:snapToGrid w:val="0"/>
              <w:spacing w:line="400" w:lineRule="exact"/>
              <w:ind w:firstLine="420" w:firstLineChars="200"/>
              <w:jc w:val="left"/>
              <w:rPr>
                <w:rFonts w:ascii="宋体"/>
                <w:sz w:val="21"/>
                <w:szCs w:val="21"/>
              </w:rPr>
            </w:pPr>
            <w:r>
              <w:rPr>
                <w:rFonts w:hint="eastAsia" w:ascii="宋体" w:hAnsi="宋体" w:cs="宋体"/>
                <w:snapToGrid w:val="0"/>
                <w:kern w:val="0"/>
                <w:sz w:val="21"/>
                <w:szCs w:val="21"/>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51" w:type="dxa"/>
            <w:gridSpan w:val="2"/>
            <w:tcMar>
              <w:top w:w="57" w:type="dxa"/>
              <w:bottom w:w="57" w:type="dxa"/>
            </w:tcMar>
            <w:vAlign w:val="center"/>
          </w:tcPr>
          <w:p>
            <w:pPr>
              <w:adjustRightInd w:val="0"/>
              <w:snapToGrid w:val="0"/>
              <w:spacing w:line="400" w:lineRule="exact"/>
              <w:ind w:firstLine="422" w:firstLineChars="200"/>
              <w:jc w:val="left"/>
              <w:rPr>
                <w:rFonts w:asci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51" w:type="dxa"/>
            <w:gridSpan w:val="2"/>
            <w:tcMar>
              <w:top w:w="57" w:type="dxa"/>
              <w:bottom w:w="57" w:type="dxa"/>
            </w:tcMar>
            <w:vAlign w:val="center"/>
          </w:tcPr>
          <w:p>
            <w:pPr>
              <w:adjustRightInd w:val="0"/>
              <w:snapToGrid w:val="0"/>
              <w:spacing w:line="400" w:lineRule="exact"/>
              <w:ind w:firstLine="422" w:firstLineChars="200"/>
              <w:jc w:val="left"/>
              <w:rPr>
                <w:rFonts w:asci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622" w:type="dxa"/>
            <w:vMerge w:val="restart"/>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343" w:type="dxa"/>
            <w:vMerge w:val="restart"/>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34" w:type="dxa"/>
            <w:tcMar>
              <w:top w:w="57" w:type="dxa"/>
              <w:bottom w:w="57" w:type="dxa"/>
            </w:tcMar>
            <w:vAlign w:val="center"/>
          </w:tcPr>
          <w:p>
            <w:pPr>
              <w:widowControl/>
              <w:adjustRightInd w:val="0"/>
              <w:snapToGrid w:val="0"/>
              <w:spacing w:line="400" w:lineRule="exact"/>
              <w:ind w:firstLine="420" w:firstLineChars="200"/>
              <w:jc w:val="left"/>
              <w:rPr>
                <w:rFonts w:ascii="宋体"/>
                <w:kern w:val="1"/>
                <w:sz w:val="21"/>
                <w:szCs w:val="21"/>
              </w:rPr>
            </w:pPr>
            <w:r>
              <w:rPr>
                <w:rFonts w:hint="eastAsia" w:ascii="宋体" w:hAnsi="宋体"/>
                <w:sz w:val="21"/>
                <w:szCs w:val="21"/>
              </w:rPr>
              <w:t>对用人单位和个人遵守社会保险法律、法规的情况开展监督检查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vMerge w:val="continue"/>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p>
        </w:tc>
        <w:tc>
          <w:tcPr>
            <w:tcW w:w="1343" w:type="dxa"/>
            <w:vMerge w:val="continue"/>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p>
        </w:tc>
        <w:tc>
          <w:tcPr>
            <w:tcW w:w="1417" w:type="dxa"/>
            <w:tcBorders>
              <w:bottom w:val="nil"/>
            </w:tcBorders>
            <w:tcMar>
              <w:top w:w="57" w:type="dxa"/>
              <w:bottom w:w="57" w:type="dxa"/>
            </w:tcMar>
            <w:vAlign w:val="center"/>
          </w:tcPr>
          <w:p>
            <w:pPr>
              <w:widowControl/>
              <w:adjustRightInd w:val="0"/>
              <w:snapToGrid w:val="0"/>
              <w:spacing w:line="400" w:lineRule="exact"/>
              <w:jc w:val="center"/>
              <w:rPr>
                <w:rFonts w:ascii="方正小标宋简体" w:hAnsi="宋体" w:eastAsia="方正小标宋简体" w:cs="宋体"/>
                <w:snapToGrid w:val="0"/>
                <w:kern w:val="0"/>
                <w:sz w:val="28"/>
                <w:szCs w:val="28"/>
              </w:rPr>
            </w:pPr>
            <w:r>
              <w:rPr>
                <w:rFonts w:hint="eastAsia" w:ascii="方正小标宋简体" w:hAnsi="宋体" w:eastAsia="方正小标宋简体"/>
                <w:sz w:val="28"/>
                <w:szCs w:val="28"/>
              </w:rPr>
              <w:t>子项名称</w:t>
            </w:r>
          </w:p>
        </w:tc>
        <w:tc>
          <w:tcPr>
            <w:tcW w:w="5734" w:type="dxa"/>
            <w:tcMar>
              <w:top w:w="57" w:type="dxa"/>
              <w:bottom w:w="57" w:type="dxa"/>
            </w:tcMar>
            <w:vAlign w:val="center"/>
          </w:tcPr>
          <w:p>
            <w:pPr>
              <w:widowControl/>
              <w:adjustRightInd w:val="0"/>
              <w:snapToGrid w:val="0"/>
              <w:spacing w:line="400" w:lineRule="exact"/>
              <w:ind w:firstLine="420" w:firstLineChars="200"/>
              <w:jc w:val="left"/>
              <w:rPr>
                <w:rFonts w:ascii="宋体" w:cs="宋体"/>
                <w:snapToGrid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5</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实施主体</w:t>
            </w:r>
          </w:p>
        </w:tc>
        <w:tc>
          <w:tcPr>
            <w:tcW w:w="7151" w:type="dxa"/>
            <w:gridSpan w:val="2"/>
            <w:tcMar>
              <w:top w:w="57" w:type="dxa"/>
              <w:bottom w:w="57" w:type="dxa"/>
            </w:tcMar>
            <w:vAlign w:val="center"/>
          </w:tcPr>
          <w:p>
            <w:pPr>
              <w:adjustRightInd w:val="0"/>
              <w:snapToGrid w:val="0"/>
              <w:spacing w:line="400" w:lineRule="exact"/>
              <w:ind w:firstLine="420" w:firstLineChars="200"/>
              <w:jc w:val="left"/>
              <w:rPr>
                <w:rFonts w:ascii="宋体"/>
                <w:sz w:val="21"/>
                <w:szCs w:val="21"/>
              </w:rPr>
            </w:pPr>
            <w:r>
              <w:rPr>
                <w:rFonts w:hint="eastAsia" w:ascii="宋体" w:hAnsi="宋体"/>
                <w:sz w:val="21"/>
                <w:szCs w:val="21"/>
              </w:rPr>
              <w:t>柳州市人力资源和社会保障局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51" w:type="dxa"/>
            <w:gridSpan w:val="2"/>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法定机关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7</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承办机构</w:t>
            </w:r>
          </w:p>
        </w:tc>
        <w:tc>
          <w:tcPr>
            <w:tcW w:w="7151" w:type="dxa"/>
            <w:gridSpan w:val="2"/>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cs="宋体"/>
                <w:kern w:val="0"/>
                <w:sz w:val="21"/>
                <w:szCs w:val="21"/>
              </w:rPr>
              <w:t>柳州市人力资源和社会保障局社会保险基金监督科、</w:t>
            </w:r>
            <w:r>
              <w:rPr>
                <w:rFonts w:ascii="宋体" w:hAnsi="宋体" w:cs="宋体"/>
                <w:kern w:val="0"/>
                <w:sz w:val="21"/>
                <w:szCs w:val="21"/>
              </w:rPr>
              <w:t>XX</w:t>
            </w:r>
            <w:r>
              <w:rPr>
                <w:rFonts w:hint="eastAsia" w:ascii="宋体" w:hAnsi="宋体" w:cs="宋体"/>
                <w:kern w:val="0"/>
                <w:sz w:val="21"/>
                <w:szCs w:val="21"/>
              </w:rPr>
              <w:t>市劳动保障监察支队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vMerge w:val="restart"/>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343" w:type="dxa"/>
            <w:vMerge w:val="restart"/>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34" w:type="dxa"/>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vMerge w:val="continue"/>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p>
        </w:tc>
        <w:tc>
          <w:tcPr>
            <w:tcW w:w="1343" w:type="dxa"/>
            <w:vMerge w:val="continue"/>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bottom w:val="nil"/>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34" w:type="dxa"/>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b/>
                <w:sz w:val="28"/>
                <w:szCs w:val="28"/>
              </w:rPr>
            </w:pPr>
            <w:r>
              <w:rPr>
                <w:rFonts w:ascii="方正小标宋简体" w:eastAsia="方正小标宋简体"/>
                <w:b/>
                <w:sz w:val="28"/>
                <w:szCs w:val="28"/>
              </w:rPr>
              <w:t>9</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设定依据</w:t>
            </w:r>
          </w:p>
        </w:tc>
        <w:tc>
          <w:tcPr>
            <w:tcW w:w="7151" w:type="dxa"/>
            <w:gridSpan w:val="2"/>
            <w:tcMar>
              <w:top w:w="57" w:type="dxa"/>
              <w:bottom w:w="57" w:type="dxa"/>
            </w:tcMar>
            <w:vAlign w:val="center"/>
          </w:tcPr>
          <w:p>
            <w:pPr>
              <w:widowControl/>
              <w:adjustRightInd w:val="0"/>
              <w:snapToGrid w:val="0"/>
              <w:spacing w:line="400" w:lineRule="exact"/>
              <w:ind w:firstLine="420" w:firstLineChars="200"/>
              <w:rPr>
                <w:rFonts w:ascii="宋体"/>
                <w:b/>
                <w:bCs/>
                <w:snapToGrid w:val="0"/>
                <w:sz w:val="21"/>
                <w:szCs w:val="21"/>
              </w:rPr>
            </w:pPr>
            <w:r>
              <w:rPr>
                <w:rFonts w:hint="eastAsia" w:ascii="宋体" w:hAnsi="宋体"/>
                <w:sz w:val="21"/>
                <w:szCs w:val="21"/>
              </w:rPr>
              <w:t>《中华人民共和国社会保险法》（</w:t>
            </w:r>
            <w:r>
              <w:rPr>
                <w:rFonts w:ascii="宋体" w:hAnsi="宋体"/>
                <w:sz w:val="21"/>
                <w:szCs w:val="21"/>
              </w:rPr>
              <w:t>2010</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35</w:t>
            </w:r>
            <w:r>
              <w:rPr>
                <w:rFonts w:hint="eastAsia" w:ascii="宋体" w:hAnsi="宋体"/>
                <w:sz w:val="21"/>
                <w:szCs w:val="21"/>
              </w:rPr>
              <w:t>号公布，自</w:t>
            </w:r>
            <w:r>
              <w:rPr>
                <w:rFonts w:ascii="宋体" w:hAnsi="宋体"/>
                <w:sz w:val="21"/>
                <w:szCs w:val="21"/>
              </w:rPr>
              <w:t>2011</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日起施行）第七十七条</w:t>
            </w:r>
            <w:r>
              <w:rPr>
                <w:rFonts w:ascii="宋体" w:hAnsi="宋体"/>
                <w:sz w:val="21"/>
                <w:szCs w:val="21"/>
              </w:rPr>
              <w:t xml:space="preserve">    </w:t>
            </w:r>
            <w:r>
              <w:rPr>
                <w:rFonts w:hint="eastAsia" w:ascii="宋体" w:hAnsi="宋体"/>
                <w:sz w:val="21"/>
                <w:szCs w:val="21"/>
              </w:rPr>
              <w:t>县级以上人民政府社会保险行政部门应当加强对用人单位和个人遵守社会保险法律、法规情况的监督检查。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10</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实施对象</w:t>
            </w:r>
          </w:p>
        </w:tc>
        <w:tc>
          <w:tcPr>
            <w:tcW w:w="7151" w:type="dxa"/>
            <w:gridSpan w:val="2"/>
            <w:tcMar>
              <w:top w:w="57" w:type="dxa"/>
              <w:bottom w:w="57" w:type="dxa"/>
            </w:tcMar>
            <w:vAlign w:val="center"/>
          </w:tcPr>
          <w:p>
            <w:pPr>
              <w:widowControl/>
              <w:adjustRightInd w:val="0"/>
              <w:snapToGrid w:val="0"/>
              <w:spacing w:line="400" w:lineRule="exact"/>
              <w:ind w:firstLine="420" w:firstLineChars="200"/>
              <w:jc w:val="left"/>
              <w:rPr>
                <w:rFonts w:ascii="宋体"/>
                <w:b/>
                <w:sz w:val="21"/>
                <w:szCs w:val="21"/>
              </w:rPr>
            </w:pPr>
            <w:r>
              <w:rPr>
                <w:rFonts w:hint="eastAsia" w:ascii="宋体" w:hAnsi="宋体"/>
                <w:sz w:val="21"/>
                <w:szCs w:val="21"/>
              </w:rPr>
              <w:t>柳州市城区内由柳州市工商局注册登记的用人单位或个人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51" w:type="dxa"/>
            <w:gridSpan w:val="2"/>
            <w:tcMar>
              <w:top w:w="57" w:type="dxa"/>
              <w:bottom w:w="57" w:type="dxa"/>
            </w:tcMar>
            <w:vAlign w:val="center"/>
          </w:tcPr>
          <w:p>
            <w:pPr>
              <w:widowControl/>
              <w:adjustRightInd w:val="0"/>
              <w:snapToGrid w:val="0"/>
              <w:spacing w:line="400" w:lineRule="exact"/>
              <w:ind w:firstLine="420" w:firstLineChars="200"/>
              <w:jc w:val="left"/>
              <w:rPr>
                <w:rFonts w:ascii="宋体" w:cs="宋体"/>
                <w:snapToGrid w:val="0"/>
                <w:kern w:val="0"/>
                <w:sz w:val="21"/>
                <w:szCs w:val="21"/>
              </w:rPr>
            </w:pPr>
            <w:r>
              <w:rPr>
                <w:rFonts w:hint="eastAsia" w:ascii="宋体" w:hAnsi="宋体"/>
                <w:sz w:val="21"/>
                <w:szCs w:val="21"/>
              </w:rPr>
              <w:t>此事项属于自治区、市、县三级分级管理。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检查流程</w:t>
            </w:r>
          </w:p>
        </w:tc>
        <w:tc>
          <w:tcPr>
            <w:tcW w:w="7151" w:type="dxa"/>
            <w:gridSpan w:val="2"/>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详见附件</w:t>
            </w:r>
            <w:r>
              <w:rPr>
                <w:rFonts w:ascii="宋体" w:hAnsi="宋体"/>
                <w:sz w:val="21"/>
                <w:szCs w:val="21"/>
              </w:rPr>
              <w:t>62-1</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检查内容</w:t>
            </w:r>
          </w:p>
        </w:tc>
        <w:tc>
          <w:tcPr>
            <w:tcW w:w="7151" w:type="dxa"/>
            <w:gridSpan w:val="2"/>
            <w:tcMar>
              <w:top w:w="57" w:type="dxa"/>
              <w:bottom w:w="57" w:type="dxa"/>
            </w:tcMar>
            <w:vAlign w:val="center"/>
          </w:tcPr>
          <w:p>
            <w:pPr>
              <w:pStyle w:val="5"/>
              <w:shd w:val="clear" w:color="auto" w:fill="FFFFFF"/>
              <w:adjustRightInd w:val="0"/>
              <w:snapToGrid w:val="0"/>
              <w:spacing w:line="400" w:lineRule="exact"/>
              <w:ind w:left="45" w:right="45" w:firstLine="450"/>
              <w:rPr>
                <w:sz w:val="21"/>
                <w:szCs w:val="21"/>
              </w:rPr>
            </w:pPr>
            <w:r>
              <w:rPr>
                <w:rFonts w:hint="eastAsia"/>
                <w:sz w:val="21"/>
                <w:szCs w:val="21"/>
              </w:rPr>
              <w:t>《中华人民共和国社会保险法》</w:t>
            </w:r>
            <w:r>
              <w:rPr>
                <w:rFonts w:hint="eastAsia" w:cs="Times New Roman"/>
                <w:kern w:val="2"/>
                <w:sz w:val="21"/>
                <w:szCs w:val="21"/>
              </w:rPr>
              <w:t>（</w:t>
            </w:r>
            <w:r>
              <w:rPr>
                <w:sz w:val="21"/>
                <w:szCs w:val="21"/>
              </w:rPr>
              <w:t>2010</w:t>
            </w:r>
            <w:r>
              <w:rPr>
                <w:rFonts w:hint="eastAsia"/>
                <w:sz w:val="21"/>
                <w:szCs w:val="21"/>
              </w:rPr>
              <w:t>年</w:t>
            </w:r>
            <w:r>
              <w:rPr>
                <w:sz w:val="21"/>
                <w:szCs w:val="21"/>
              </w:rPr>
              <w:t>10</w:t>
            </w:r>
            <w:r>
              <w:rPr>
                <w:rFonts w:hint="eastAsia"/>
                <w:sz w:val="21"/>
                <w:szCs w:val="21"/>
              </w:rPr>
              <w:t>月</w:t>
            </w:r>
            <w:r>
              <w:rPr>
                <w:sz w:val="21"/>
                <w:szCs w:val="21"/>
              </w:rPr>
              <w:t>28</w:t>
            </w:r>
            <w:r>
              <w:rPr>
                <w:rFonts w:hint="eastAsia"/>
                <w:sz w:val="21"/>
                <w:szCs w:val="21"/>
              </w:rPr>
              <w:t>日中华人民共和国主席令第</w:t>
            </w:r>
            <w:r>
              <w:rPr>
                <w:sz w:val="21"/>
                <w:szCs w:val="21"/>
              </w:rPr>
              <w:t>35</w:t>
            </w:r>
            <w:r>
              <w:rPr>
                <w:rFonts w:hint="eastAsia"/>
                <w:sz w:val="21"/>
                <w:szCs w:val="21"/>
              </w:rPr>
              <w:t>号公布，自</w:t>
            </w:r>
            <w:r>
              <w:rPr>
                <w:sz w:val="21"/>
                <w:szCs w:val="21"/>
              </w:rPr>
              <w:t>2011</w:t>
            </w:r>
            <w:r>
              <w:rPr>
                <w:rFonts w:hint="eastAsia"/>
                <w:sz w:val="21"/>
                <w:szCs w:val="21"/>
              </w:rPr>
              <w:t>年</w:t>
            </w:r>
            <w:r>
              <w:rPr>
                <w:sz w:val="21"/>
                <w:szCs w:val="21"/>
              </w:rPr>
              <w:t>7</w:t>
            </w:r>
            <w:r>
              <w:rPr>
                <w:rFonts w:hint="eastAsia"/>
                <w:sz w:val="21"/>
                <w:szCs w:val="21"/>
              </w:rPr>
              <w:t>月</w:t>
            </w:r>
            <w:r>
              <w:rPr>
                <w:sz w:val="21"/>
                <w:szCs w:val="21"/>
              </w:rPr>
              <w:t>1</w:t>
            </w:r>
            <w:r>
              <w:rPr>
                <w:rFonts w:hint="eastAsia"/>
                <w:sz w:val="21"/>
                <w:szCs w:val="21"/>
              </w:rPr>
              <w:t>日起施行</w:t>
            </w:r>
            <w:r>
              <w:rPr>
                <w:rFonts w:hint="eastAsia" w:cs="Times New Roman"/>
                <w:kern w:val="2"/>
                <w:sz w:val="21"/>
                <w:szCs w:val="21"/>
              </w:rPr>
              <w:t>）第七十七条　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责任事项</w:t>
            </w:r>
          </w:p>
        </w:tc>
        <w:tc>
          <w:tcPr>
            <w:tcW w:w="7151" w:type="dxa"/>
            <w:gridSpan w:val="2"/>
            <w:tcMar>
              <w:top w:w="57" w:type="dxa"/>
              <w:bottom w:w="57" w:type="dxa"/>
            </w:tcMar>
            <w:vAlign w:val="cente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确定行政检查项目的责任。根据上级部署、监督计划及临时工作需要，确定检查项目。</w:t>
            </w:r>
          </w:p>
          <w:p>
            <w:pPr>
              <w:adjustRightInd w:val="0"/>
              <w:snapToGrid w:val="0"/>
              <w:spacing w:line="400" w:lineRule="exact"/>
              <w:ind w:firstLine="420" w:firstLineChars="200"/>
              <w:rPr>
                <w:rFonts w:ascii="宋体"/>
                <w:sz w:val="21"/>
                <w:szCs w:val="21"/>
              </w:rPr>
            </w:pPr>
            <w:r>
              <w:rPr>
                <w:rFonts w:ascii="宋体" w:hAnsi="宋体"/>
                <w:sz w:val="21"/>
                <w:szCs w:val="21"/>
              </w:rPr>
              <w:t>2.</w:t>
            </w:r>
            <w:r>
              <w:rPr>
                <w:rFonts w:hint="eastAsia" w:ascii="宋体" w:hAnsi="宋体"/>
                <w:sz w:val="21"/>
                <w:szCs w:val="21"/>
              </w:rPr>
              <w:t>组成检查组并指定检查组长责任。根据确定检查项目确定检查组人员和指定检查组长。</w:t>
            </w:r>
          </w:p>
          <w:p>
            <w:pPr>
              <w:adjustRightInd w:val="0"/>
              <w:snapToGrid w:val="0"/>
              <w:spacing w:line="400" w:lineRule="exact"/>
              <w:ind w:firstLine="420" w:firstLineChars="200"/>
              <w:rPr>
                <w:rFonts w:ascii="宋体"/>
                <w:sz w:val="21"/>
                <w:szCs w:val="21"/>
              </w:rPr>
            </w:pPr>
            <w:r>
              <w:rPr>
                <w:rFonts w:ascii="宋体" w:hAnsi="宋体"/>
                <w:sz w:val="21"/>
                <w:szCs w:val="21"/>
              </w:rPr>
              <w:t>3.</w:t>
            </w:r>
            <w:r>
              <w:rPr>
                <w:rFonts w:hint="eastAsia" w:ascii="宋体" w:hAnsi="宋体"/>
                <w:sz w:val="21"/>
                <w:szCs w:val="21"/>
              </w:rPr>
              <w:t>行政检查准备责任。督促检查组做好检查所需法律法规及相关资料收集、拟订检查方案和报批。</w:t>
            </w:r>
          </w:p>
          <w:p>
            <w:pPr>
              <w:adjustRightInd w:val="0"/>
              <w:snapToGrid w:val="0"/>
              <w:spacing w:line="400" w:lineRule="exact"/>
              <w:ind w:firstLine="420" w:firstLineChars="200"/>
              <w:rPr>
                <w:rFonts w:ascii="宋体"/>
                <w:sz w:val="21"/>
                <w:szCs w:val="21"/>
              </w:rPr>
            </w:pPr>
            <w:r>
              <w:rPr>
                <w:rFonts w:ascii="宋体" w:hAnsi="宋体"/>
                <w:sz w:val="21"/>
                <w:szCs w:val="21"/>
              </w:rPr>
              <w:t>4.</w:t>
            </w:r>
            <w:r>
              <w:rPr>
                <w:rFonts w:hint="eastAsia" w:ascii="宋体" w:hAnsi="宋体"/>
                <w:sz w:val="21"/>
                <w:szCs w:val="21"/>
              </w:rPr>
              <w:t>行政检查告知责任。向行政相对人下达行政检查通知，告知检查涉及事项。</w:t>
            </w:r>
          </w:p>
          <w:p>
            <w:pPr>
              <w:adjustRightInd w:val="0"/>
              <w:snapToGrid w:val="0"/>
              <w:spacing w:line="400" w:lineRule="exact"/>
              <w:ind w:firstLine="420" w:firstLineChars="200"/>
              <w:rPr>
                <w:rFonts w:ascii="宋体"/>
                <w:sz w:val="21"/>
                <w:szCs w:val="21"/>
              </w:rPr>
            </w:pPr>
            <w:r>
              <w:rPr>
                <w:rFonts w:ascii="宋体" w:hAnsi="宋体"/>
                <w:sz w:val="21"/>
                <w:szCs w:val="21"/>
              </w:rPr>
              <w:t>5.</w:t>
            </w:r>
            <w:r>
              <w:rPr>
                <w:rFonts w:hint="eastAsia" w:ascii="宋体" w:hAnsi="宋体"/>
                <w:sz w:val="21"/>
                <w:szCs w:val="21"/>
              </w:rPr>
              <w:t>进驻行政对象单位开展检查责任。检查组按规定做好工作底稿编制和发现问题、违法线索的证据收集等。</w:t>
            </w:r>
          </w:p>
          <w:p>
            <w:pPr>
              <w:adjustRightInd w:val="0"/>
              <w:snapToGrid w:val="0"/>
              <w:spacing w:line="400" w:lineRule="exact"/>
              <w:ind w:firstLine="420" w:firstLineChars="200"/>
              <w:rPr>
                <w:rFonts w:ascii="宋体"/>
                <w:sz w:val="21"/>
                <w:szCs w:val="21"/>
              </w:rPr>
            </w:pPr>
            <w:r>
              <w:rPr>
                <w:rFonts w:ascii="宋体" w:hAnsi="宋体"/>
                <w:sz w:val="21"/>
                <w:szCs w:val="21"/>
              </w:rPr>
              <w:t>6.</w:t>
            </w:r>
            <w:r>
              <w:rPr>
                <w:rFonts w:hint="eastAsia" w:ascii="宋体" w:hAnsi="宋体"/>
                <w:sz w:val="21"/>
                <w:szCs w:val="21"/>
              </w:rPr>
              <w:t>拟订行政检查报告责任。检查组在离开现场后需按规定完成行政检查报告拟订。</w:t>
            </w:r>
          </w:p>
          <w:p>
            <w:pPr>
              <w:adjustRightInd w:val="0"/>
              <w:snapToGrid w:val="0"/>
              <w:spacing w:line="400" w:lineRule="exact"/>
              <w:ind w:firstLine="420" w:firstLineChars="200"/>
              <w:rPr>
                <w:rFonts w:ascii="宋体"/>
                <w:sz w:val="21"/>
                <w:szCs w:val="21"/>
              </w:rPr>
            </w:pPr>
            <w:r>
              <w:rPr>
                <w:rFonts w:ascii="宋体" w:hAnsi="宋体"/>
                <w:sz w:val="21"/>
                <w:szCs w:val="21"/>
              </w:rPr>
              <w:t>7.</w:t>
            </w:r>
            <w:r>
              <w:rPr>
                <w:rFonts w:hint="eastAsia" w:ascii="宋体" w:hAnsi="宋体"/>
                <w:sz w:val="21"/>
                <w:szCs w:val="21"/>
              </w:rPr>
              <w:t>向行政相对人征求意见责任。检查组完成行政检查报告拟订后应当向行政相对人征求意见，并负责对行政相关人的意见进行核实。</w:t>
            </w:r>
          </w:p>
          <w:p>
            <w:pPr>
              <w:adjustRightInd w:val="0"/>
              <w:snapToGrid w:val="0"/>
              <w:spacing w:line="400" w:lineRule="exact"/>
              <w:ind w:firstLine="420" w:firstLineChars="200"/>
              <w:rPr>
                <w:rFonts w:ascii="宋体"/>
                <w:sz w:val="21"/>
                <w:szCs w:val="21"/>
              </w:rPr>
            </w:pPr>
            <w:r>
              <w:rPr>
                <w:rFonts w:ascii="宋体" w:hAnsi="宋体"/>
                <w:sz w:val="21"/>
                <w:szCs w:val="21"/>
              </w:rPr>
              <w:t>8.</w:t>
            </w:r>
            <w:r>
              <w:rPr>
                <w:rFonts w:hint="eastAsia" w:ascii="宋体" w:hAnsi="宋体"/>
                <w:sz w:val="21"/>
                <w:szCs w:val="21"/>
              </w:rPr>
              <w:t>提交行政检查报告责任。在综合行政相对人的意见反馈基础上，检查组行政行政检查报告提交基金监督机构，并对检查发现问题提出处理意见和建议。</w:t>
            </w:r>
          </w:p>
          <w:p>
            <w:pPr>
              <w:adjustRightInd w:val="0"/>
              <w:snapToGrid w:val="0"/>
              <w:spacing w:line="400" w:lineRule="exact"/>
              <w:ind w:firstLine="420" w:firstLineChars="200"/>
              <w:rPr>
                <w:rFonts w:ascii="宋体"/>
                <w:sz w:val="21"/>
                <w:szCs w:val="21"/>
              </w:rPr>
            </w:pPr>
            <w:r>
              <w:rPr>
                <w:rFonts w:ascii="宋体" w:hAnsi="宋体"/>
                <w:sz w:val="21"/>
                <w:szCs w:val="21"/>
              </w:rPr>
              <w:t>9.</w:t>
            </w:r>
            <w:r>
              <w:rPr>
                <w:rFonts w:hint="eastAsia" w:ascii="宋体" w:hAnsi="宋体"/>
                <w:sz w:val="21"/>
                <w:szCs w:val="21"/>
              </w:rPr>
              <w:t>行政检查处理责任。基金监督机构对检查组提交的报告进行审查，并分类作出行政处理（即：对不存在违法违规行为的，作办结处理；存在违法违规但不够成犯罪的，责令整改；对不属于本机关处理、涉嫌犯罪或违反党政纪的，作移送处理）。</w:t>
            </w:r>
            <w:r>
              <w:rPr>
                <w:rFonts w:ascii="宋体" w:hAnsi="宋体"/>
                <w:sz w:val="21"/>
                <w:szCs w:val="21"/>
              </w:rPr>
              <w:t xml:space="preserve">   </w:t>
            </w:r>
          </w:p>
          <w:p>
            <w:pPr>
              <w:adjustRightInd w:val="0"/>
              <w:snapToGrid w:val="0"/>
              <w:spacing w:line="400" w:lineRule="exact"/>
              <w:ind w:firstLine="420" w:firstLineChars="200"/>
              <w:rPr>
                <w:rFonts w:ascii="宋体"/>
                <w:sz w:val="21"/>
                <w:szCs w:val="21"/>
              </w:rPr>
            </w:pPr>
            <w:r>
              <w:rPr>
                <w:rFonts w:ascii="宋体" w:hAnsi="宋体"/>
                <w:sz w:val="21"/>
                <w:szCs w:val="21"/>
              </w:rPr>
              <w:t>10.</w:t>
            </w:r>
            <w:r>
              <w:rPr>
                <w:rFonts w:hint="eastAsia" w:ascii="宋体" w:hAnsi="宋体"/>
                <w:sz w:val="21"/>
                <w:szCs w:val="21"/>
              </w:rPr>
              <w:t>监督责任。对行政相对人执行检查行政处理处罚情况开展监督检查。</w:t>
            </w:r>
            <w:r>
              <w:rPr>
                <w:rFonts w:ascii="宋体" w:hAnsi="宋体"/>
                <w:sz w:val="21"/>
                <w:szCs w:val="21"/>
              </w:rPr>
              <w:t xml:space="preserve">   </w:t>
            </w:r>
          </w:p>
          <w:p>
            <w:pPr>
              <w:adjustRightInd w:val="0"/>
              <w:snapToGrid w:val="0"/>
              <w:spacing w:line="400" w:lineRule="exact"/>
              <w:ind w:firstLine="420" w:firstLineChars="200"/>
              <w:rPr>
                <w:rFonts w:ascii="宋体"/>
                <w:kern w:val="0"/>
                <w:sz w:val="21"/>
                <w:szCs w:val="21"/>
              </w:rPr>
            </w:pPr>
            <w:r>
              <w:rPr>
                <w:rFonts w:ascii="宋体" w:hAnsi="宋体"/>
                <w:sz w:val="21"/>
                <w:szCs w:val="21"/>
              </w:rPr>
              <w:t>11.</w:t>
            </w:r>
            <w:r>
              <w:rPr>
                <w:rFonts w:hint="eastAsia" w:ascii="宋体" w:hAnsi="宋体"/>
                <w:sz w:val="21"/>
                <w:szCs w:val="21"/>
              </w:rPr>
              <w:t>其他法律法规规定应当履行的责任。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追责情形</w:t>
            </w:r>
          </w:p>
        </w:tc>
        <w:tc>
          <w:tcPr>
            <w:tcW w:w="7151" w:type="dxa"/>
            <w:gridSpan w:val="2"/>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因不履行或不正确履行行政职责，有下列情形的，行政机关及相关工作人员应承担相应责任：</w:t>
            </w:r>
          </w:p>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不履行或不正确履行职责，对造成或即将造成危险的行为不予制止和有效处理的。</w:t>
            </w:r>
          </w:p>
          <w:p>
            <w:pPr>
              <w:adjustRightInd w:val="0"/>
              <w:snapToGrid w:val="0"/>
              <w:spacing w:line="400" w:lineRule="exact"/>
              <w:ind w:firstLine="420" w:firstLineChars="200"/>
              <w:rPr>
                <w:rFonts w:ascii="宋体"/>
                <w:sz w:val="21"/>
                <w:szCs w:val="21"/>
              </w:rPr>
            </w:pPr>
            <w:r>
              <w:rPr>
                <w:rFonts w:ascii="宋体" w:hAnsi="宋体"/>
                <w:sz w:val="21"/>
                <w:szCs w:val="21"/>
              </w:rPr>
              <w:t>2.</w:t>
            </w:r>
            <w:r>
              <w:rPr>
                <w:rFonts w:hint="eastAsia" w:ascii="宋体" w:hAnsi="宋体"/>
                <w:sz w:val="21"/>
                <w:szCs w:val="21"/>
              </w:rPr>
              <w:t>在监督检查中玩忽职守、徇私舞弊的。</w:t>
            </w:r>
          </w:p>
          <w:p>
            <w:pPr>
              <w:adjustRightInd w:val="0"/>
              <w:snapToGrid w:val="0"/>
              <w:spacing w:line="400" w:lineRule="exact"/>
              <w:ind w:firstLine="420" w:firstLineChars="200"/>
              <w:rPr>
                <w:rFonts w:ascii="宋体"/>
                <w:sz w:val="21"/>
                <w:szCs w:val="21"/>
              </w:rPr>
            </w:pPr>
            <w:r>
              <w:rPr>
                <w:rFonts w:ascii="宋体" w:hAnsi="宋体"/>
                <w:sz w:val="21"/>
                <w:szCs w:val="21"/>
              </w:rPr>
              <w:t>3.</w:t>
            </w:r>
            <w:r>
              <w:rPr>
                <w:rFonts w:hint="eastAsia" w:ascii="宋体" w:hAnsi="宋体"/>
                <w:sz w:val="21"/>
                <w:szCs w:val="21"/>
              </w:rPr>
              <w:t>在监督检查中滥用职权，谋取不正当利益和发生腐败行为的。</w:t>
            </w:r>
          </w:p>
          <w:p>
            <w:pPr>
              <w:adjustRightInd w:val="0"/>
              <w:snapToGrid w:val="0"/>
              <w:spacing w:line="400" w:lineRule="exact"/>
              <w:ind w:firstLine="420" w:firstLineChars="200"/>
              <w:rPr>
                <w:rFonts w:ascii="宋体" w:cs="宋体"/>
                <w:kern w:val="0"/>
                <w:sz w:val="21"/>
                <w:szCs w:val="21"/>
              </w:rPr>
            </w:pPr>
            <w:r>
              <w:rPr>
                <w:rFonts w:ascii="宋体" w:hAnsi="宋体"/>
                <w:sz w:val="21"/>
                <w:szCs w:val="21"/>
              </w:rPr>
              <w:t>4.</w:t>
            </w:r>
            <w:r>
              <w:rPr>
                <w:rFonts w:hint="eastAsia" w:ascii="宋体" w:hAnsi="宋体"/>
                <w:sz w:val="21"/>
                <w:szCs w:val="21"/>
              </w:rPr>
              <w:t>其他违反法律法规规章文件规定的行为。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622"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343" w:type="dxa"/>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备注</w:t>
            </w:r>
          </w:p>
        </w:tc>
        <w:tc>
          <w:tcPr>
            <w:tcW w:w="7151" w:type="dxa"/>
            <w:gridSpan w:val="2"/>
            <w:tcMar>
              <w:top w:w="57" w:type="dxa"/>
              <w:bottom w:w="57" w:type="dxa"/>
            </w:tcMar>
            <w:vAlign w:val="center"/>
          </w:tcPr>
          <w:p>
            <w:pPr>
              <w:adjustRightInd w:val="0"/>
              <w:snapToGrid w:val="0"/>
              <w:spacing w:line="400" w:lineRule="exact"/>
              <w:ind w:firstLine="420" w:firstLineChars="200"/>
              <w:rPr>
                <w:rFonts w:ascii="宋体"/>
                <w:kern w:val="0"/>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spacing w:line="240" w:lineRule="exact"/>
        <w:jc w:val="center"/>
        <w:rPr>
          <w:rFonts w:ascii="方正小标宋简体" w:eastAsia="方正小标宋简体"/>
          <w:b/>
          <w:sz w:val="24"/>
          <w:szCs w:val="24"/>
        </w:rPr>
      </w:pPr>
    </w:p>
    <w:p>
      <w:pPr>
        <w:spacing w:line="590" w:lineRule="exact"/>
        <w:jc w:val="center"/>
        <w:rPr>
          <w:rFonts w:ascii="方正小标宋简体" w:hAnsi="黑体" w:eastAsia="方正小标宋简体"/>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ascii="?????_GBK" w:eastAsia="Times New Roman"/>
          <w:snapToGrid w:val="0"/>
          <w:color w:val="000000"/>
          <w:sz w:val="32"/>
          <w:szCs w:val="32"/>
        </w:rPr>
      </w:pPr>
      <w:r>
        <w:rPr>
          <w:rFonts w:ascii="方正小标宋简体" w:hAnsi="黑体" w:eastAsia="方正小标宋简体"/>
          <w:sz w:val="44"/>
          <w:szCs w:val="44"/>
          <w:shd w:val="clear" w:color="auto" w:fill="FFFFFF"/>
        </w:rPr>
        <w:br w:type="page"/>
      </w:r>
      <w:r>
        <w:rPr>
          <w:rFonts w:hint="eastAsia" w:ascii="方正小标宋简体" w:hAnsi="黑体" w:eastAsia="方正小标宋简体"/>
          <w:sz w:val="44"/>
          <w:szCs w:val="44"/>
          <w:shd w:val="clear" w:color="auto" w:fill="FFFFFF"/>
        </w:rPr>
        <w:t>廉政风险点</w:t>
      </w:r>
    </w:p>
    <w:p>
      <w:pPr>
        <w:spacing w:line="240" w:lineRule="exact"/>
        <w:jc w:val="center"/>
        <w:rPr>
          <w:rFonts w:ascii="?????_GBK" w:eastAsia="Times New Roman"/>
          <w:shd w:val="clear" w:color="auto" w:fill="FFFFFF"/>
        </w:rPr>
      </w:pPr>
    </w:p>
    <w:tbl>
      <w:tblPr>
        <w:tblStyle w:val="8"/>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3374"/>
        <w:gridCol w:w="741"/>
        <w:gridCol w:w="2092"/>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374"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2092"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954"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restart"/>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检查准备风险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）未按相关程序确定检查对象；（</w:t>
            </w:r>
            <w:r>
              <w:rPr>
                <w:rFonts w:ascii="宋体" w:hAnsi="宋体" w:cs="宋体"/>
                <w:kern w:val="0"/>
                <w:sz w:val="21"/>
                <w:szCs w:val="21"/>
              </w:rPr>
              <w:t>2</w:t>
            </w:r>
            <w:r>
              <w:rPr>
                <w:rFonts w:hint="eastAsia" w:ascii="宋体" w:hAnsi="宋体" w:cs="宋体"/>
                <w:kern w:val="0"/>
                <w:sz w:val="21"/>
                <w:szCs w:val="21"/>
              </w:rPr>
              <w:t>）对群众举报事项未按规定程序办理。</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低</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制订工作计划或方案，并按规定程序报批；</w:t>
            </w:r>
            <w:r>
              <w:rPr>
                <w:rFonts w:ascii="宋体" w:hAnsi="宋体" w:cs="宋体"/>
                <w:kern w:val="0"/>
                <w:sz w:val="21"/>
                <w:szCs w:val="21"/>
              </w:rPr>
              <w:t>2.</w:t>
            </w:r>
            <w:r>
              <w:rPr>
                <w:rFonts w:hint="eastAsia" w:ascii="宋体" w:hAnsi="宋体" w:cs="宋体"/>
                <w:kern w:val="0"/>
                <w:sz w:val="21"/>
                <w:szCs w:val="21"/>
              </w:rPr>
              <w:t>对于举报案件严格按信访规定进行办理。</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b/>
                <w:kern w:val="0"/>
                <w:sz w:val="21"/>
                <w:szCs w:val="21"/>
              </w:rPr>
            </w:pPr>
            <w:r>
              <w:rPr>
                <w:rFonts w:hint="eastAsia" w:ascii="宋体" w:hAnsi="宋体" w:cs="宋体"/>
                <w:kern w:val="0"/>
                <w:sz w:val="21"/>
                <w:szCs w:val="21"/>
              </w:rPr>
              <w:t>柳州市劳动保障监察支队经办人员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2.</w:t>
            </w:r>
            <w:r>
              <w:rPr>
                <w:rFonts w:hint="eastAsia" w:ascii="宋体" w:hAnsi="宋体" w:cs="宋体"/>
                <w:kern w:val="0"/>
                <w:sz w:val="21"/>
                <w:szCs w:val="21"/>
              </w:rPr>
              <w:t>检查实施风险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）违反规定程序实施检查的；（</w:t>
            </w:r>
            <w:r>
              <w:rPr>
                <w:rFonts w:ascii="宋体" w:hAnsi="宋体" w:cs="宋体"/>
                <w:kern w:val="0"/>
                <w:sz w:val="21"/>
                <w:szCs w:val="21"/>
              </w:rPr>
              <w:t>2</w:t>
            </w:r>
            <w:r>
              <w:rPr>
                <w:rFonts w:hint="eastAsia" w:ascii="宋体" w:hAnsi="宋体" w:cs="宋体"/>
                <w:kern w:val="0"/>
                <w:sz w:val="21"/>
                <w:szCs w:val="21"/>
              </w:rPr>
              <w:t>）玩忽职守，对知悉的财政、财务和会计违法行为未及时处置；（</w:t>
            </w:r>
            <w:r>
              <w:rPr>
                <w:rFonts w:ascii="宋体" w:hAnsi="宋体" w:cs="宋体"/>
                <w:kern w:val="0"/>
                <w:sz w:val="21"/>
                <w:szCs w:val="21"/>
              </w:rPr>
              <w:t>3</w:t>
            </w:r>
            <w:r>
              <w:rPr>
                <w:rFonts w:hint="eastAsia" w:ascii="宋体" w:hAnsi="宋体" w:cs="宋体"/>
                <w:kern w:val="0"/>
                <w:sz w:val="21"/>
                <w:szCs w:val="21"/>
              </w:rPr>
              <w:t>）泄露监督检查中知悉的国家秘密、商业秘密；（</w:t>
            </w:r>
            <w:r>
              <w:rPr>
                <w:rFonts w:ascii="宋体" w:hAnsi="宋体" w:cs="宋体"/>
                <w:kern w:val="0"/>
                <w:sz w:val="21"/>
                <w:szCs w:val="21"/>
              </w:rPr>
              <w:t>4</w:t>
            </w:r>
            <w:r>
              <w:rPr>
                <w:rFonts w:hint="eastAsia" w:ascii="宋体" w:hAnsi="宋体" w:cs="宋体"/>
                <w:kern w:val="0"/>
                <w:sz w:val="21"/>
                <w:szCs w:val="21"/>
              </w:rPr>
              <w:t>）利用监督检查工作之便谋取私利。</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严格执行检查程序和检查纪律；</w:t>
            </w:r>
            <w:r>
              <w:rPr>
                <w:rFonts w:ascii="宋体" w:hAnsi="宋体" w:cs="宋体"/>
                <w:kern w:val="0"/>
                <w:sz w:val="21"/>
                <w:szCs w:val="21"/>
              </w:rPr>
              <w:t>2.</w:t>
            </w:r>
            <w:r>
              <w:rPr>
                <w:rFonts w:hint="eastAsia" w:ascii="宋体" w:hAnsi="宋体" w:cs="宋体"/>
                <w:kern w:val="0"/>
                <w:sz w:val="21"/>
                <w:szCs w:val="21"/>
              </w:rPr>
              <w:t>加强对检查人员的教育培训和监管；</w:t>
            </w:r>
            <w:r>
              <w:rPr>
                <w:rFonts w:ascii="宋体" w:hAnsi="宋体" w:cs="宋体"/>
                <w:kern w:val="0"/>
                <w:sz w:val="21"/>
                <w:szCs w:val="21"/>
              </w:rPr>
              <w:t>3.</w:t>
            </w:r>
            <w:r>
              <w:rPr>
                <w:rFonts w:hint="eastAsia" w:ascii="宋体" w:hAnsi="宋体" w:cs="宋体"/>
                <w:kern w:val="0"/>
                <w:sz w:val="21"/>
                <w:szCs w:val="21"/>
              </w:rPr>
              <w:t>严格执行廉政纪律。</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hint="eastAsia" w:ascii="宋体" w:hAnsi="宋体" w:cs="宋体"/>
                <w:kern w:val="0"/>
                <w:sz w:val="21"/>
                <w:szCs w:val="21"/>
              </w:rPr>
              <w:t>柳州市劳动保障监察支队经办人员；检查组组长；劳动保障监察支队主要负责人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3.</w:t>
            </w:r>
            <w:r>
              <w:rPr>
                <w:rFonts w:hint="eastAsia" w:ascii="宋体" w:hAnsi="宋体" w:cs="宋体"/>
                <w:kern w:val="0"/>
                <w:sz w:val="21"/>
                <w:szCs w:val="21"/>
              </w:rPr>
              <w:t>检查处理风险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）行政处理无依据；（</w:t>
            </w:r>
            <w:r>
              <w:rPr>
                <w:rFonts w:ascii="宋体" w:hAnsi="宋体" w:cs="宋体"/>
                <w:kern w:val="0"/>
                <w:sz w:val="21"/>
                <w:szCs w:val="21"/>
              </w:rPr>
              <w:t>2</w:t>
            </w:r>
            <w:r>
              <w:rPr>
                <w:rFonts w:hint="eastAsia" w:ascii="宋体" w:hAnsi="宋体" w:cs="宋体"/>
                <w:kern w:val="0"/>
                <w:sz w:val="21"/>
                <w:szCs w:val="21"/>
              </w:rPr>
              <w:t>）法律法规运用错误；（</w:t>
            </w:r>
            <w:r>
              <w:rPr>
                <w:rFonts w:ascii="宋体" w:hAnsi="宋体" w:cs="宋体"/>
                <w:kern w:val="0"/>
                <w:sz w:val="21"/>
                <w:szCs w:val="21"/>
              </w:rPr>
              <w:t>3</w:t>
            </w:r>
            <w:r>
              <w:rPr>
                <w:rFonts w:hint="eastAsia" w:ascii="宋体" w:hAnsi="宋体" w:cs="宋体"/>
                <w:kern w:val="0"/>
                <w:sz w:val="21"/>
                <w:szCs w:val="21"/>
              </w:rPr>
              <w:t>）对检查对象提出的事实、理由和证据，未进行复核；（</w:t>
            </w:r>
            <w:r>
              <w:rPr>
                <w:rFonts w:ascii="宋体" w:hAnsi="宋体" w:cs="宋体"/>
                <w:kern w:val="0"/>
                <w:sz w:val="21"/>
                <w:szCs w:val="21"/>
              </w:rPr>
              <w:t>4</w:t>
            </w:r>
            <w:r>
              <w:rPr>
                <w:rFonts w:hint="eastAsia" w:ascii="宋体" w:hAnsi="宋体" w:cs="宋体"/>
                <w:kern w:val="0"/>
                <w:sz w:val="21"/>
                <w:szCs w:val="21"/>
              </w:rPr>
              <w:t>）检查对象提出的事实、理由和证据成立，而未予采纳；（</w:t>
            </w:r>
            <w:r>
              <w:rPr>
                <w:rFonts w:ascii="宋体" w:hAnsi="宋体" w:cs="宋体"/>
                <w:kern w:val="0"/>
                <w:sz w:val="21"/>
                <w:szCs w:val="21"/>
              </w:rPr>
              <w:t>5</w:t>
            </w:r>
            <w:r>
              <w:rPr>
                <w:rFonts w:hint="eastAsia" w:ascii="宋体" w:hAnsi="宋体" w:cs="宋体"/>
                <w:kern w:val="0"/>
                <w:sz w:val="21"/>
                <w:szCs w:val="21"/>
              </w:rPr>
              <w:t>）处理决定中未告知对方依法申请行政复议或诉讼途径和期限。</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依据违法事实，严格细化检查处理适用的法律法规；</w:t>
            </w:r>
            <w:r>
              <w:rPr>
                <w:rFonts w:ascii="宋体" w:hAnsi="宋体" w:cs="宋体"/>
                <w:kern w:val="0"/>
                <w:sz w:val="21"/>
                <w:szCs w:val="21"/>
              </w:rPr>
              <w:t>2.</w:t>
            </w:r>
            <w:r>
              <w:rPr>
                <w:rFonts w:hint="eastAsia" w:ascii="宋体" w:hAnsi="宋体" w:cs="宋体"/>
                <w:kern w:val="0"/>
                <w:sz w:val="21"/>
                <w:szCs w:val="21"/>
              </w:rPr>
              <w:t>集体讨论，严格审批制度；</w:t>
            </w:r>
            <w:r>
              <w:rPr>
                <w:rFonts w:ascii="宋体" w:hAnsi="宋体" w:cs="宋体"/>
                <w:kern w:val="0"/>
                <w:sz w:val="21"/>
                <w:szCs w:val="21"/>
              </w:rPr>
              <w:t>3.</w:t>
            </w:r>
            <w:r>
              <w:rPr>
                <w:rFonts w:hint="eastAsia" w:ascii="宋体" w:hAnsi="宋体" w:cs="宋体"/>
                <w:kern w:val="0"/>
                <w:sz w:val="21"/>
                <w:szCs w:val="21"/>
              </w:rPr>
              <w:t>严格执行征求意见制度和审理复核制度。</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hint="eastAsia" w:ascii="宋体" w:hAnsi="宋体" w:cs="宋体"/>
                <w:kern w:val="0"/>
                <w:sz w:val="21"/>
                <w:szCs w:val="21"/>
              </w:rPr>
              <w:t>柳州市劳动保障监察支队经办人员；劳动保障监察支队主要负责人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4.</w:t>
            </w:r>
            <w:r>
              <w:rPr>
                <w:rFonts w:hint="eastAsia" w:ascii="宋体" w:hAnsi="宋体" w:cs="宋体"/>
                <w:kern w:val="0"/>
                <w:sz w:val="21"/>
                <w:szCs w:val="21"/>
              </w:rPr>
              <w:t>执行风险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）未履行处理决定送达程序；（</w:t>
            </w:r>
            <w:r>
              <w:rPr>
                <w:rFonts w:ascii="宋体" w:hAnsi="宋体" w:cs="宋体"/>
                <w:kern w:val="0"/>
                <w:sz w:val="21"/>
                <w:szCs w:val="21"/>
              </w:rPr>
              <w:t>2</w:t>
            </w:r>
            <w:r>
              <w:rPr>
                <w:rFonts w:hint="eastAsia" w:ascii="宋体" w:hAnsi="宋体" w:cs="宋体"/>
                <w:kern w:val="0"/>
                <w:sz w:val="21"/>
                <w:szCs w:val="21"/>
              </w:rPr>
              <w:t>）检查对象对已作出处理决定不执行、不及时执行，未予跟踪监督。</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低</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严格执行送达程序；</w:t>
            </w:r>
            <w:r>
              <w:rPr>
                <w:rFonts w:ascii="宋体" w:hAnsi="宋体" w:cs="宋体"/>
                <w:kern w:val="0"/>
                <w:sz w:val="21"/>
                <w:szCs w:val="21"/>
              </w:rPr>
              <w:t>2.</w:t>
            </w:r>
            <w:r>
              <w:rPr>
                <w:rFonts w:hint="eastAsia" w:ascii="宋体" w:hAnsi="宋体" w:cs="宋体"/>
                <w:kern w:val="0"/>
                <w:sz w:val="21"/>
                <w:szCs w:val="21"/>
              </w:rPr>
              <w:t>加强对检查对象整改落实情况报告报送情况跟踪督促；</w:t>
            </w:r>
            <w:r>
              <w:rPr>
                <w:rFonts w:ascii="宋体" w:hAnsi="宋体" w:cs="宋体"/>
                <w:kern w:val="0"/>
                <w:sz w:val="21"/>
                <w:szCs w:val="21"/>
              </w:rPr>
              <w:t>3.</w:t>
            </w:r>
            <w:r>
              <w:rPr>
                <w:rFonts w:hint="eastAsia" w:ascii="宋体" w:hAnsi="宋体" w:cs="宋体"/>
                <w:kern w:val="0"/>
                <w:sz w:val="21"/>
                <w:szCs w:val="21"/>
              </w:rPr>
              <w:t>对检查对象进行回访，对检查结果进行抽查，加强对执行情况的监督。</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hint="eastAsia" w:ascii="宋体" w:hAnsi="宋体" w:cs="宋体"/>
                <w:kern w:val="0"/>
                <w:sz w:val="21"/>
                <w:szCs w:val="21"/>
              </w:rPr>
              <w:t>柳州市劳动保障监察支队经办人员；劳动保障监察支队主要负责人</w:t>
            </w:r>
          </w:p>
        </w:tc>
      </w:tr>
    </w:tbl>
    <w:p>
      <w:pPr>
        <w:tabs>
          <w:tab w:val="left" w:pos="0"/>
        </w:tabs>
        <w:adjustRightInd w:val="0"/>
        <w:snapToGrid w:val="0"/>
        <w:spacing w:line="560" w:lineRule="exact"/>
        <w:ind w:left="31680" w:hanging="1760" w:hangingChars="550"/>
        <w:rPr>
          <w:rStyle w:val="7"/>
          <w:rFonts w:ascii="仿宋" w:hAnsi="仿宋" w:eastAsia="仿宋"/>
          <w:b w:val="0"/>
          <w:color w:val="000000"/>
          <w:sz w:val="32"/>
          <w:szCs w:val="32"/>
        </w:rPr>
      </w:pP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b/>
          <w:snapToGrid w:val="0"/>
          <w:color w:val="000000"/>
          <w:sz w:val="32"/>
          <w:szCs w:val="32"/>
        </w:rPr>
      </w:pPr>
      <w:r>
        <w:rPr>
          <w:rStyle w:val="7"/>
          <w:rFonts w:hint="eastAsia" w:ascii="仿宋" w:hAnsi="仿宋" w:eastAsia="仿宋"/>
          <w:b w:val="0"/>
          <w:color w:val="000000"/>
          <w:sz w:val="32"/>
          <w:szCs w:val="32"/>
        </w:rPr>
        <w:t>附件：</w:t>
      </w:r>
      <w:r>
        <w:rPr>
          <w:rStyle w:val="7"/>
          <w:rFonts w:ascii="仿宋" w:hAnsi="仿宋" w:eastAsia="仿宋"/>
          <w:b w:val="0"/>
          <w:color w:val="000000"/>
          <w:sz w:val="32"/>
          <w:szCs w:val="32"/>
        </w:rPr>
        <w:t>62-1.</w:t>
      </w:r>
      <w:r>
        <w:rPr>
          <w:rStyle w:val="7"/>
          <w:rFonts w:hint="eastAsia" w:ascii="仿宋" w:hAnsi="仿宋" w:eastAsia="仿宋"/>
          <w:b w:val="0"/>
          <w:color w:val="000000"/>
          <w:sz w:val="32"/>
          <w:szCs w:val="32"/>
        </w:rPr>
        <w:t>对用人单位和个人遵守社会保险法律、法规的情况开展监督检查流程图</w:t>
      </w:r>
    </w:p>
    <w:p>
      <w:pPr>
        <w:keepNext w:val="0"/>
        <w:keepLines w:val="0"/>
        <w:pageBreakBefore w:val="0"/>
        <w:widowControl w:val="0"/>
        <w:kinsoku/>
        <w:wordWrap/>
        <w:overflowPunct/>
        <w:topLinePunct w:val="0"/>
        <w:autoSpaceDE/>
        <w:autoSpaceDN/>
        <w:bidi w:val="0"/>
        <w:spacing w:line="560" w:lineRule="exact"/>
        <w:ind w:right="0" w:rightChars="0"/>
        <w:jc w:val="left"/>
        <w:textAlignment w:val="auto"/>
        <w:outlineLvl w:val="9"/>
        <w:rPr>
          <w:rFonts w:ascii="黑体" w:hAnsi="黑体" w:eastAsia="黑体"/>
          <w:color w:val="000000"/>
        </w:rPr>
      </w:pPr>
      <w:r>
        <w:rPr>
          <w:rFonts w:eastAsia="Times New Roman"/>
          <w:snapToGrid w:val="0"/>
          <w:color w:val="000000"/>
          <w:sz w:val="32"/>
          <w:szCs w:val="32"/>
        </w:rPr>
        <w:br w:type="page"/>
      </w:r>
      <w:r>
        <w:rPr>
          <w:rFonts w:hint="eastAsia" w:ascii="黑体" w:hAnsi="黑体" w:eastAsia="黑体"/>
          <w:color w:val="000000"/>
        </w:rPr>
        <w:t>附件</w:t>
      </w:r>
      <w:r>
        <w:rPr>
          <w:rFonts w:ascii="黑体" w:hAnsi="黑体" w:eastAsia="黑体"/>
          <w:color w:val="000000"/>
        </w:rPr>
        <w:t>62-1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hAnsi="仿宋_GB2312" w:eastAsia="方正小标宋简体"/>
          <w:sz w:val="44"/>
          <w:szCs w:val="44"/>
        </w:rPr>
      </w:pPr>
      <w:r>
        <w:rPr>
          <w:rFonts w:hint="eastAsia" w:ascii="方正小标宋简体" w:hAnsi="仿宋_GB2312" w:eastAsia="方正小标宋简体"/>
          <w:sz w:val="44"/>
          <w:szCs w:val="44"/>
        </w:rPr>
        <w:t>对用人单位和个人遵守社会保险法律、法规的情况开展监督检查流程图</w:t>
      </w:r>
    </w:p>
    <w:p>
      <w:pPr>
        <w:spacing w:line="480" w:lineRule="exact"/>
        <w:rPr>
          <w:rFonts w:ascii="黑体" w:hAnsi="黑体" w:eastAsia="黑体"/>
          <w:b/>
          <w:sz w:val="21"/>
          <w:szCs w:val="21"/>
        </w:rPr>
      </w:pPr>
      <w:r>
        <w:pict>
          <v:shape id="图片 3550" o:spid="_x0000_s1026" o:spt="75" alt="附件9-1" type="#_x0000_t75" style="position:absolute;left:0pt;margin-left:-10.4pt;margin-top:19.65pt;height:535.2pt;width:448.8pt;z-index:251658240;mso-width-relative:page;mso-height-relative:page;" filled="f" o:preferrelative="t" stroked="f" coordsize="21600,21600">
            <v:path/>
            <v:fill on="f" focussize="0,0"/>
            <v:stroke on="f" joinstyle="miter"/>
            <v:imagedata r:id="rId4" o:title=""/>
            <o:lock v:ext="edit" aspectratio="t"/>
          </v:shape>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_GBK">
    <w:altName w:val="Times New Roman"/>
    <w:panose1 w:val="00000000000000000000"/>
    <w:charset w:val="00"/>
    <w:family w:val="auto"/>
    <w:pitch w:val="default"/>
    <w:sig w:usb0="00000000" w:usb1="00000000" w:usb2="00000000" w:usb3="00000000" w:csb0="00000001"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771E"/>
    <w:rsid w:val="00011E0B"/>
    <w:rsid w:val="00022F14"/>
    <w:rsid w:val="0007128A"/>
    <w:rsid w:val="000E2443"/>
    <w:rsid w:val="000F2267"/>
    <w:rsid w:val="001320CA"/>
    <w:rsid w:val="001431B3"/>
    <w:rsid w:val="00176793"/>
    <w:rsid w:val="00190445"/>
    <w:rsid w:val="001A7ADF"/>
    <w:rsid w:val="00205B83"/>
    <w:rsid w:val="002076C2"/>
    <w:rsid w:val="0021372C"/>
    <w:rsid w:val="002407E3"/>
    <w:rsid w:val="0024534E"/>
    <w:rsid w:val="002563EE"/>
    <w:rsid w:val="00273EA0"/>
    <w:rsid w:val="00297EC1"/>
    <w:rsid w:val="002A5F7D"/>
    <w:rsid w:val="002B0354"/>
    <w:rsid w:val="00326501"/>
    <w:rsid w:val="00363F92"/>
    <w:rsid w:val="00385906"/>
    <w:rsid w:val="003A344B"/>
    <w:rsid w:val="003F2962"/>
    <w:rsid w:val="0040375B"/>
    <w:rsid w:val="00415FA9"/>
    <w:rsid w:val="00443AD2"/>
    <w:rsid w:val="0045605B"/>
    <w:rsid w:val="004654EF"/>
    <w:rsid w:val="0049082C"/>
    <w:rsid w:val="00492FD5"/>
    <w:rsid w:val="005074B9"/>
    <w:rsid w:val="005251D6"/>
    <w:rsid w:val="00526976"/>
    <w:rsid w:val="00530712"/>
    <w:rsid w:val="00552BD6"/>
    <w:rsid w:val="00574563"/>
    <w:rsid w:val="005D1AB2"/>
    <w:rsid w:val="00601CDD"/>
    <w:rsid w:val="0063091B"/>
    <w:rsid w:val="00647B29"/>
    <w:rsid w:val="00652728"/>
    <w:rsid w:val="006A526D"/>
    <w:rsid w:val="006B72D2"/>
    <w:rsid w:val="006E46A7"/>
    <w:rsid w:val="006F6E67"/>
    <w:rsid w:val="00703C72"/>
    <w:rsid w:val="00704FE7"/>
    <w:rsid w:val="007649AE"/>
    <w:rsid w:val="00775087"/>
    <w:rsid w:val="00783A56"/>
    <w:rsid w:val="007A74B5"/>
    <w:rsid w:val="007C62B6"/>
    <w:rsid w:val="007D2311"/>
    <w:rsid w:val="007E5914"/>
    <w:rsid w:val="0081601C"/>
    <w:rsid w:val="00816D07"/>
    <w:rsid w:val="00846490"/>
    <w:rsid w:val="00871C33"/>
    <w:rsid w:val="008B6146"/>
    <w:rsid w:val="008B6F74"/>
    <w:rsid w:val="008C4649"/>
    <w:rsid w:val="0090236C"/>
    <w:rsid w:val="00920351"/>
    <w:rsid w:val="0093230A"/>
    <w:rsid w:val="009B679E"/>
    <w:rsid w:val="009C1709"/>
    <w:rsid w:val="00A02447"/>
    <w:rsid w:val="00A05C98"/>
    <w:rsid w:val="00A30B52"/>
    <w:rsid w:val="00A40AE4"/>
    <w:rsid w:val="00A504AC"/>
    <w:rsid w:val="00A90912"/>
    <w:rsid w:val="00A91476"/>
    <w:rsid w:val="00AB2D1B"/>
    <w:rsid w:val="00B46E67"/>
    <w:rsid w:val="00B55C32"/>
    <w:rsid w:val="00B6506D"/>
    <w:rsid w:val="00B954CF"/>
    <w:rsid w:val="00BC039A"/>
    <w:rsid w:val="00BE3102"/>
    <w:rsid w:val="00C15040"/>
    <w:rsid w:val="00C31A94"/>
    <w:rsid w:val="00C44C5A"/>
    <w:rsid w:val="00C459B7"/>
    <w:rsid w:val="00C54DB4"/>
    <w:rsid w:val="00C73EC9"/>
    <w:rsid w:val="00C80173"/>
    <w:rsid w:val="00CB0B61"/>
    <w:rsid w:val="00D464B4"/>
    <w:rsid w:val="00D65D70"/>
    <w:rsid w:val="00DC7A7D"/>
    <w:rsid w:val="00DD509C"/>
    <w:rsid w:val="00DE36CC"/>
    <w:rsid w:val="00E14583"/>
    <w:rsid w:val="00E76A0F"/>
    <w:rsid w:val="00ED771E"/>
    <w:rsid w:val="00F8297F"/>
    <w:rsid w:val="00F87A53"/>
    <w:rsid w:val="00F90C2E"/>
    <w:rsid w:val="00F91890"/>
    <w:rsid w:val="00FA51E4"/>
    <w:rsid w:val="00FB77DE"/>
    <w:rsid w:val="00FC4303"/>
    <w:rsid w:val="39A11604"/>
    <w:rsid w:val="5984235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9"/>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4">
    <w:name w:val="Body Text Indent 3"/>
    <w:basedOn w:val="1"/>
    <w:link w:val="11"/>
    <w:qFormat/>
    <w:uiPriority w:val="99"/>
    <w:pPr>
      <w:spacing w:line="560" w:lineRule="exact"/>
      <w:ind w:left="1150" w:leftChars="94" w:hanging="868" w:hangingChars="310"/>
    </w:pPr>
    <w:rPr>
      <w:rFonts w:ascii="????_GBK" w:eastAsia="Times New Roman"/>
      <w:color w:val="000000"/>
      <w:sz w:val="28"/>
      <w:szCs w:val="2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99"/>
    <w:rPr>
      <w:rFonts w:cs="Times New Roman"/>
      <w:b/>
      <w:bCs/>
    </w:rPr>
  </w:style>
  <w:style w:type="character" w:customStyle="1" w:styleId="9">
    <w:name w:val="Header Char"/>
    <w:basedOn w:val="6"/>
    <w:link w:val="3"/>
    <w:semiHidden/>
    <w:qFormat/>
    <w:locked/>
    <w:uiPriority w:val="99"/>
    <w:rPr>
      <w:rFonts w:cs="Times New Roman"/>
      <w:sz w:val="18"/>
      <w:szCs w:val="18"/>
    </w:rPr>
  </w:style>
  <w:style w:type="character" w:customStyle="1" w:styleId="10">
    <w:name w:val="Footer Char"/>
    <w:basedOn w:val="6"/>
    <w:link w:val="2"/>
    <w:semiHidden/>
    <w:qFormat/>
    <w:locked/>
    <w:uiPriority w:val="99"/>
    <w:rPr>
      <w:rFonts w:cs="Times New Roman"/>
      <w:sz w:val="18"/>
      <w:szCs w:val="18"/>
    </w:rPr>
  </w:style>
  <w:style w:type="character" w:customStyle="1" w:styleId="11">
    <w:name w:val="Body Text Indent 3 Char"/>
    <w:basedOn w:val="6"/>
    <w:link w:val="4"/>
    <w:qFormat/>
    <w:locked/>
    <w:uiPriority w:val="99"/>
    <w:rPr>
      <w:rFonts w:ascii="????_GBK" w:hAnsi="Times New Roman" w:eastAsia="Times New Roman" w:cs="Times New Roman"/>
      <w:color w:val="000000"/>
      <w:sz w:val="28"/>
      <w:szCs w:val="28"/>
    </w:rPr>
  </w:style>
  <w:style w:type="paragraph" w:customStyle="1" w:styleId="12">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330</Words>
  <Characters>1881</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2017-05-11T07:11:00Z</dcterms:created>
  <dc:creator>Administrator</dc:creator>
  <cp:lastModifiedBy>5170</cp:lastModifiedBy>
  <dcterms:modified xsi:type="dcterms:W3CDTF">2017-12-02T03:55:37Z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