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42.</w:t>
      </w:r>
      <w:r>
        <w:rPr>
          <w:rFonts w:hint="eastAsia" w:ascii="方正小标宋简体" w:hAnsi="楷体" w:eastAsia="方正小标宋简体"/>
          <w:sz w:val="44"/>
          <w:szCs w:val="44"/>
        </w:rPr>
        <w:t>职业中介机构未建立服务台账，或虽建立服务台账但未记录服务对象、服务过程、服务结果和收费情况的处罚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职业中介机构未建立服务台账，或虽建立服务台账但未记录服务对象、服务过程、服务结果和收费情况的处罚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jc w:val="left"/>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咨询及</w:t>
            </w:r>
          </w:p>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adjustRightInd w:val="0"/>
              <w:snapToGrid w:val="0"/>
              <w:spacing w:line="400" w:lineRule="exact"/>
              <w:jc w:val="center"/>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1673"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《就业服务与就业管理规定》（</w:t>
            </w:r>
            <w:r>
              <w:rPr>
                <w:rFonts w:ascii="宋体" w:hAnsi="宋体"/>
                <w:sz w:val="21"/>
                <w:szCs w:val="21"/>
              </w:rPr>
              <w:t>2007</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5</w:t>
            </w:r>
            <w:r>
              <w:rPr>
                <w:rFonts w:hint="eastAsia" w:ascii="宋体" w:hAnsi="宋体"/>
                <w:sz w:val="21"/>
                <w:szCs w:val="21"/>
              </w:rPr>
              <w:t>日劳动和社会保障部令第</w:t>
            </w:r>
            <w:r>
              <w:rPr>
                <w:rFonts w:ascii="宋体" w:hAnsi="宋体"/>
                <w:sz w:val="21"/>
                <w:szCs w:val="21"/>
              </w:rPr>
              <w:t>28</w:t>
            </w:r>
            <w:r>
              <w:rPr>
                <w:rFonts w:hint="eastAsia" w:ascii="宋体" w:hAnsi="宋体"/>
                <w:sz w:val="21"/>
                <w:szCs w:val="21"/>
              </w:rPr>
              <w:t>号公布，自</w:t>
            </w:r>
            <w:r>
              <w:rPr>
                <w:rFonts w:ascii="宋体" w:hAnsi="宋体"/>
                <w:sz w:val="21"/>
                <w:szCs w:val="21"/>
              </w:rPr>
              <w:t>2008</w:t>
            </w:r>
            <w:r>
              <w:rPr>
                <w:rFonts w:hint="eastAsia" w:ascii="宋体" w:hAnsi="宋体"/>
                <w:sz w:val="21"/>
                <w:szCs w:val="21"/>
              </w:rPr>
              <w:t>年</w:t>
            </w:r>
            <w:r>
              <w:rPr>
                <w:rFonts w:ascii="宋体" w:hAnsi="宋体"/>
                <w:sz w:val="21"/>
                <w:szCs w:val="21"/>
              </w:rPr>
              <w:t>1</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w:t>
            </w:r>
            <w:r>
              <w:rPr>
                <w:rFonts w:ascii="宋体" w:hAnsi="宋体"/>
                <w:sz w:val="21"/>
                <w:szCs w:val="21"/>
              </w:rPr>
              <w:t>2014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23</w:t>
            </w:r>
            <w:r>
              <w:rPr>
                <w:rFonts w:hint="eastAsia" w:ascii="宋体" w:hAnsi="宋体"/>
                <w:sz w:val="21"/>
                <w:szCs w:val="21"/>
              </w:rPr>
              <w:t>日修订）第五十四条</w:t>
            </w:r>
            <w:r>
              <w:rPr>
                <w:rFonts w:ascii="宋体" w:hAnsi="宋体"/>
                <w:sz w:val="21"/>
                <w:szCs w:val="21"/>
              </w:rPr>
              <w:t xml:space="preserve">  </w:t>
            </w:r>
            <w:r>
              <w:rPr>
                <w:rFonts w:hint="eastAsia" w:ascii="宋体" w:hAnsi="宋体"/>
                <w:sz w:val="21"/>
                <w:szCs w:val="21"/>
              </w:rPr>
              <w:t>职业中介机构应当建立服务台账，记录服务对象、服务过程、服务结果和收费情况等，并接受劳动保障行政部门的监督检查。</w:t>
            </w:r>
          </w:p>
          <w:p>
            <w:pPr>
              <w:adjustRightInd w:val="0"/>
              <w:snapToGrid w:val="0"/>
              <w:spacing w:line="400" w:lineRule="exact"/>
              <w:ind w:firstLine="420" w:firstLineChars="200"/>
              <w:rPr>
                <w:rFonts w:ascii="宋体"/>
                <w:kern w:val="1"/>
                <w:sz w:val="21"/>
                <w:szCs w:val="21"/>
              </w:rPr>
            </w:pPr>
            <w:r>
              <w:rPr>
                <w:rFonts w:hint="eastAsia" w:ascii="宋体" w:hAnsi="宋体"/>
                <w:sz w:val="21"/>
                <w:szCs w:val="21"/>
              </w:rPr>
              <w:t>第七十二条</w:t>
            </w:r>
            <w:r>
              <w:rPr>
                <w:rFonts w:ascii="宋体" w:hAnsi="宋体"/>
                <w:sz w:val="21"/>
                <w:szCs w:val="21"/>
              </w:rPr>
              <w:t xml:space="preserve">  </w:t>
            </w:r>
            <w:r>
              <w:rPr>
                <w:rFonts w:hint="eastAsia" w:ascii="宋体" w:hAnsi="宋体"/>
                <w:sz w:val="21"/>
                <w:szCs w:val="21"/>
              </w:rPr>
              <w:t>职业中介机构违反本规定第五十四条规定，未建立服务台账，或虽建立服务台账但未记录服务对象、服务过程、服务结果和收费情况的，由劳动保障行政部门责令改正，并可处以一千元以下的罚款。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jc w:val="left"/>
              <w:rPr>
                <w:rFonts w:ascii="宋体"/>
                <w:b/>
                <w:sz w:val="21"/>
                <w:szCs w:val="21"/>
              </w:rPr>
            </w:pPr>
            <w:r>
              <w:rPr>
                <w:rFonts w:hint="eastAsia" w:ascii="宋体" w:hAnsi="宋体"/>
                <w:sz w:val="21"/>
                <w:szCs w:val="21"/>
              </w:rPr>
              <w:t>在柳州市行政区域内由工商部门登记注册的，未建立服务台账，或虽建立服务台账但未记录服务对象、服务过程、服务结果和收费情况的职业中介机构</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rPr>
                <w:rFonts w:ascii="宋体"/>
                <w:sz w:val="21"/>
                <w:szCs w:val="21"/>
              </w:rPr>
            </w:pPr>
            <w:r>
              <w:rPr>
                <w:rFonts w:ascii="宋体" w:hAnsi="宋体"/>
                <w:sz w:val="21"/>
                <w:szCs w:val="21"/>
              </w:rPr>
              <w:t xml:space="preserve">   </w:t>
            </w: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《就业服务与就业管理规定》（</w:t>
            </w:r>
            <w:r>
              <w:rPr>
                <w:rFonts w:ascii="宋体" w:hAnsi="宋体"/>
                <w:sz w:val="21"/>
                <w:szCs w:val="21"/>
              </w:rPr>
              <w:t>2007</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5</w:t>
            </w:r>
            <w:r>
              <w:rPr>
                <w:rFonts w:hint="eastAsia" w:ascii="宋体" w:hAnsi="宋体"/>
                <w:sz w:val="21"/>
                <w:szCs w:val="21"/>
              </w:rPr>
              <w:t>日劳动和社会保障部令第</w:t>
            </w:r>
            <w:r>
              <w:rPr>
                <w:rFonts w:ascii="宋体" w:hAnsi="宋体"/>
                <w:sz w:val="21"/>
                <w:szCs w:val="21"/>
              </w:rPr>
              <w:t>28</w:t>
            </w:r>
            <w:r>
              <w:rPr>
                <w:rFonts w:hint="eastAsia" w:ascii="宋体" w:hAnsi="宋体"/>
                <w:sz w:val="21"/>
                <w:szCs w:val="21"/>
              </w:rPr>
              <w:t>号公布，自</w:t>
            </w:r>
            <w:r>
              <w:rPr>
                <w:rFonts w:ascii="宋体" w:hAnsi="宋体"/>
                <w:sz w:val="21"/>
                <w:szCs w:val="21"/>
              </w:rPr>
              <w:t>2008</w:t>
            </w:r>
            <w:r>
              <w:rPr>
                <w:rFonts w:hint="eastAsia" w:ascii="宋体" w:hAnsi="宋体"/>
                <w:sz w:val="21"/>
                <w:szCs w:val="21"/>
              </w:rPr>
              <w:t>年</w:t>
            </w:r>
            <w:r>
              <w:rPr>
                <w:rFonts w:ascii="宋体" w:hAnsi="宋体"/>
                <w:sz w:val="21"/>
                <w:szCs w:val="21"/>
              </w:rPr>
              <w:t>1</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w:t>
            </w:r>
            <w:r>
              <w:rPr>
                <w:rFonts w:ascii="宋体" w:hAnsi="宋体"/>
                <w:sz w:val="21"/>
                <w:szCs w:val="21"/>
              </w:rPr>
              <w:t>2014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23</w:t>
            </w:r>
            <w:r>
              <w:rPr>
                <w:rFonts w:hint="eastAsia" w:ascii="宋体" w:hAnsi="宋体"/>
                <w:sz w:val="21"/>
                <w:szCs w:val="21"/>
              </w:rPr>
              <w:t>日修订）第五十四条</w:t>
            </w:r>
            <w:r>
              <w:rPr>
                <w:rFonts w:ascii="宋体" w:hAnsi="宋体"/>
                <w:sz w:val="21"/>
                <w:szCs w:val="21"/>
              </w:rPr>
              <w:t xml:space="preserve">  </w:t>
            </w:r>
            <w:r>
              <w:rPr>
                <w:rFonts w:hint="eastAsia" w:ascii="宋体" w:hAnsi="宋体"/>
                <w:sz w:val="21"/>
                <w:szCs w:val="21"/>
              </w:rPr>
              <w:t>职业中介机构应当建立服务台账，记录服务对象、服务过程、服务结果和收费情况等，并接受劳动保障行政部门的监督检查。</w:t>
            </w:r>
          </w:p>
          <w:p>
            <w:pPr>
              <w:adjustRightInd w:val="0"/>
              <w:snapToGrid w:val="0"/>
              <w:spacing w:line="400" w:lineRule="exact"/>
              <w:ind w:firstLine="420" w:firstLineChars="200"/>
              <w:rPr>
                <w:rFonts w:ascii="宋体"/>
                <w:sz w:val="21"/>
                <w:szCs w:val="21"/>
              </w:rPr>
            </w:pPr>
            <w:r>
              <w:rPr>
                <w:rFonts w:ascii="宋体" w:hAnsi="宋体"/>
                <w:sz w:val="21"/>
                <w:szCs w:val="21"/>
              </w:rPr>
              <w:t xml:space="preserve">    </w:t>
            </w:r>
            <w:r>
              <w:rPr>
                <w:rFonts w:hint="eastAsia" w:ascii="宋体" w:hAnsi="宋体"/>
                <w:sz w:val="21"/>
                <w:szCs w:val="21"/>
              </w:rPr>
              <w:t>第七十二条</w:t>
            </w:r>
            <w:r>
              <w:rPr>
                <w:rFonts w:ascii="宋体" w:hAnsi="宋体"/>
                <w:sz w:val="21"/>
                <w:szCs w:val="21"/>
              </w:rPr>
              <w:t xml:space="preserve">  </w:t>
            </w:r>
            <w:r>
              <w:rPr>
                <w:rFonts w:hint="eastAsia" w:ascii="宋体" w:hAnsi="宋体"/>
                <w:sz w:val="21"/>
                <w:szCs w:val="21"/>
              </w:rPr>
              <w:t>职业中介机构违反本规定第五十四条规定，未建立服务台账，或虽建立服务台账但未记录服务对象、服务过程、服务结果和收费情况的，由劳动保障行政部门责令改正，并可处以一千元以下的罚款。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adjustRightInd w:val="0"/>
              <w:snapToGrid w:val="0"/>
              <w:spacing w:line="400" w:lineRule="exact"/>
              <w:jc w:val="center"/>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bookmarkStart w:id="0" w:name="_GoBack"/>
            <w:bookmarkEnd w:id="0"/>
            <w:r>
              <w:rPr>
                <w:rFonts w:hint="eastAsia" w:ascii="宋体" w:hAnsi="宋体"/>
                <w:sz w:val="21"/>
                <w:szCs w:val="21"/>
                <w:lang w:eastAsia="zh-CN"/>
              </w:rPr>
              <w:t>75个工作日,情况复杂或特殊情况，经本级劳动保障行政部门负责人批准可以延长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详见附件</w:t>
            </w:r>
            <w:r>
              <w:rPr>
                <w:rFonts w:ascii="宋体" w:hAnsi="宋体"/>
                <w:sz w:val="21"/>
                <w:szCs w:val="21"/>
              </w:rPr>
              <w:t>42-1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adjustRightInd w:val="0"/>
              <w:snapToGrid w:val="0"/>
              <w:spacing w:line="400" w:lineRule="exact"/>
              <w:ind w:firstLine="420" w:firstLineChars="200"/>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r>
              <w:rPr>
                <w:rFonts w:ascii="宋体" w:hAnsi="宋体"/>
                <w:kern w:val="1"/>
                <w:sz w:val="21"/>
                <w:szCs w:val="21"/>
              </w:rPr>
              <w:t xml:space="preserve"> </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tabs>
          <w:tab w:val="left" w:pos="0"/>
        </w:tabs>
        <w:adjustRightInd w:val="0"/>
        <w:snapToGrid w:val="0"/>
        <w:spacing w:line="590" w:lineRule="exact"/>
        <w:rPr>
          <w:rFonts w:eastAsia="Times New Roman"/>
          <w:snapToGrid w:val="0"/>
          <w:color w:val="00000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eastAsia="Times New Roman"/>
          <w:snapToGrid w:val="0"/>
          <w:color w:val="000000"/>
          <w:sz w:val="32"/>
          <w:szCs w:val="32"/>
        </w:rPr>
        <w:br w:type="page"/>
      </w: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31680" w:right="0" w:rightChars="0" w:hanging="1760" w:hangingChars="550"/>
        <w:textAlignment w:val="auto"/>
        <w:outlineLvl w:val="9"/>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42-1.</w:t>
      </w:r>
      <w:r>
        <w:rPr>
          <w:rFonts w:hint="eastAsia" w:ascii="仿宋" w:hAnsi="仿宋" w:eastAsia="仿宋"/>
          <w:sz w:val="32"/>
          <w:szCs w:val="32"/>
        </w:rPr>
        <w:t>职业中介机构未建立服务台账，或虽建立服务台账但未记录服务对象、服务过程、服务结果和收费情况的处罚流程图</w:t>
      </w:r>
    </w:p>
    <w:p>
      <w:pPr>
        <w:keepNext w:val="0"/>
        <w:keepLines w:val="0"/>
        <w:pageBreakBefore w:val="0"/>
        <w:widowControl w:val="0"/>
        <w:kinsoku/>
        <w:wordWrap/>
        <w:overflowPunct/>
        <w:topLinePunct w:val="0"/>
        <w:autoSpaceDE/>
        <w:autoSpaceDN/>
        <w:bidi w:val="0"/>
        <w:spacing w:line="560" w:lineRule="exact"/>
        <w:ind w:right="0" w:rightChars="0"/>
        <w:textAlignment w:val="auto"/>
        <w:outlineLvl w:val="9"/>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42-1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方正小标宋简体" w:eastAsia="方正小标宋简体"/>
          <w:snapToGrid w:val="0"/>
          <w:color w:val="000000"/>
          <w:sz w:val="44"/>
          <w:szCs w:val="44"/>
        </w:rPr>
      </w:pPr>
      <w:r>
        <w:rPr>
          <w:rFonts w:hint="eastAsia" w:ascii="方正小标宋简体" w:eastAsia="方正小标宋简体"/>
          <w:bCs/>
          <w:spacing w:val="-10"/>
          <w:sz w:val="44"/>
          <w:szCs w:val="44"/>
          <w:shd w:val="clear" w:color="auto" w:fill="FFFFFF"/>
        </w:rPr>
        <w:t>职业中介机构未建立服务台账，或虽建立服务台账但未记录服务对象、服务过程、服务结果和收费情况的处罚</w:t>
      </w:r>
      <w:r>
        <w:rPr>
          <w:rFonts w:hint="eastAsia" w:ascii="方正小标宋简体" w:eastAsia="方正小标宋简体"/>
          <w:bCs/>
          <w:sz w:val="44"/>
          <w:szCs w:val="44"/>
          <w:shd w:val="clear" w:color="auto" w:fill="FFFFFF"/>
        </w:rPr>
        <w:t>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75个工作日,情况复杂或特殊情况，经本级劳动保障行政部门负责人批准可以延长</w:t>
      </w:r>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pPr>
        <w:tabs>
          <w:tab w:val="left" w:pos="0"/>
        </w:tabs>
        <w:adjustRightInd w:val="0"/>
        <w:snapToGrid w:val="0"/>
        <w:spacing w:line="590" w:lineRule="exact"/>
        <w:rPr>
          <w:snapToGrid w:val="0"/>
          <w:color w:val="000000"/>
          <w:sz w:val="32"/>
          <w:szCs w:val="32"/>
        </w:rPr>
      </w:pPr>
    </w:p>
    <w:p>
      <w:pPr>
        <w:tabs>
          <w:tab w:val="left" w:pos="0"/>
        </w:tabs>
        <w:adjustRightInd w:val="0"/>
        <w:snapToGrid w:val="0"/>
        <w:spacing w:line="590" w:lineRule="exact"/>
        <w:rPr>
          <w:snapToGrid w:val="0"/>
          <w:color w:val="000000"/>
          <w:sz w:val="32"/>
          <w:szCs w:val="32"/>
        </w:rPr>
      </w:pPr>
    </w:p>
    <w:p>
      <w:pPr>
        <w:tabs>
          <w:tab w:val="left" w:pos="0"/>
        </w:tabs>
        <w:adjustRightInd w:val="0"/>
        <w:snapToGrid w:val="0"/>
        <w:spacing w:line="590" w:lineRule="exact"/>
        <w:rPr>
          <w:snapToGrid w:val="0"/>
          <w:color w:val="000000"/>
          <w:sz w:val="32"/>
          <w:szCs w:val="32"/>
        </w:rPr>
      </w:pPr>
    </w:p>
    <w:p>
      <w:r>
        <w:pict>
          <v:group id="_x0000_s1026" o:spid="_x0000_s1026" o:spt="203" style="position:absolute;left:0pt;margin-left:23.65pt;margin-top:-27.15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5395"/>
    <w:rsid w:val="000153E3"/>
    <w:rsid w:val="00023AB1"/>
    <w:rsid w:val="000308CF"/>
    <w:rsid w:val="00055930"/>
    <w:rsid w:val="0009116F"/>
    <w:rsid w:val="000B7C10"/>
    <w:rsid w:val="000C32F9"/>
    <w:rsid w:val="000E67F8"/>
    <w:rsid w:val="000F7E21"/>
    <w:rsid w:val="00102947"/>
    <w:rsid w:val="00103260"/>
    <w:rsid w:val="00150FE0"/>
    <w:rsid w:val="00153F43"/>
    <w:rsid w:val="00156A6B"/>
    <w:rsid w:val="00161ED7"/>
    <w:rsid w:val="00163252"/>
    <w:rsid w:val="00166E63"/>
    <w:rsid w:val="00175F0C"/>
    <w:rsid w:val="001820CD"/>
    <w:rsid w:val="00194FBA"/>
    <w:rsid w:val="001B2CAE"/>
    <w:rsid w:val="001B2DEA"/>
    <w:rsid w:val="001B447F"/>
    <w:rsid w:val="001B537C"/>
    <w:rsid w:val="001D5C05"/>
    <w:rsid w:val="001E4877"/>
    <w:rsid w:val="001E5FE2"/>
    <w:rsid w:val="00200EC8"/>
    <w:rsid w:val="00203353"/>
    <w:rsid w:val="002269AA"/>
    <w:rsid w:val="00227679"/>
    <w:rsid w:val="00227D6B"/>
    <w:rsid w:val="002444B3"/>
    <w:rsid w:val="00245963"/>
    <w:rsid w:val="00255CA9"/>
    <w:rsid w:val="00272772"/>
    <w:rsid w:val="00282A6D"/>
    <w:rsid w:val="0028651A"/>
    <w:rsid w:val="00286DEB"/>
    <w:rsid w:val="00295ABB"/>
    <w:rsid w:val="002A1CC8"/>
    <w:rsid w:val="002B1232"/>
    <w:rsid w:val="002C50A9"/>
    <w:rsid w:val="002D511E"/>
    <w:rsid w:val="002D5681"/>
    <w:rsid w:val="002E44AD"/>
    <w:rsid w:val="0031439E"/>
    <w:rsid w:val="003227C9"/>
    <w:rsid w:val="00333F72"/>
    <w:rsid w:val="00342BB4"/>
    <w:rsid w:val="003443D1"/>
    <w:rsid w:val="003514D4"/>
    <w:rsid w:val="00353D27"/>
    <w:rsid w:val="00356BBF"/>
    <w:rsid w:val="00361B67"/>
    <w:rsid w:val="00367CD3"/>
    <w:rsid w:val="00384D77"/>
    <w:rsid w:val="003A5A5D"/>
    <w:rsid w:val="003B211A"/>
    <w:rsid w:val="003B5A02"/>
    <w:rsid w:val="003C724B"/>
    <w:rsid w:val="003D6D43"/>
    <w:rsid w:val="003F17C9"/>
    <w:rsid w:val="00410EE4"/>
    <w:rsid w:val="00417CDB"/>
    <w:rsid w:val="00424088"/>
    <w:rsid w:val="00436DFB"/>
    <w:rsid w:val="00437430"/>
    <w:rsid w:val="00437AF6"/>
    <w:rsid w:val="0044208D"/>
    <w:rsid w:val="00462049"/>
    <w:rsid w:val="00476CD6"/>
    <w:rsid w:val="00482348"/>
    <w:rsid w:val="004B6F8C"/>
    <w:rsid w:val="004C3B50"/>
    <w:rsid w:val="004D49FB"/>
    <w:rsid w:val="004D4B14"/>
    <w:rsid w:val="004D676F"/>
    <w:rsid w:val="004E01F1"/>
    <w:rsid w:val="004F14CC"/>
    <w:rsid w:val="004F1E77"/>
    <w:rsid w:val="004F36AA"/>
    <w:rsid w:val="005040D4"/>
    <w:rsid w:val="00525580"/>
    <w:rsid w:val="0053433D"/>
    <w:rsid w:val="00552F46"/>
    <w:rsid w:val="0055514F"/>
    <w:rsid w:val="00573850"/>
    <w:rsid w:val="00577BF6"/>
    <w:rsid w:val="00591485"/>
    <w:rsid w:val="00592DD7"/>
    <w:rsid w:val="00593CC2"/>
    <w:rsid w:val="0059481E"/>
    <w:rsid w:val="005A10DA"/>
    <w:rsid w:val="005A26E1"/>
    <w:rsid w:val="005A3B34"/>
    <w:rsid w:val="005C083D"/>
    <w:rsid w:val="005D31C4"/>
    <w:rsid w:val="00601138"/>
    <w:rsid w:val="0060142F"/>
    <w:rsid w:val="0060355F"/>
    <w:rsid w:val="00603EC9"/>
    <w:rsid w:val="00613A10"/>
    <w:rsid w:val="0061682E"/>
    <w:rsid w:val="00621282"/>
    <w:rsid w:val="00636C16"/>
    <w:rsid w:val="006426D5"/>
    <w:rsid w:val="00652AC2"/>
    <w:rsid w:val="00662395"/>
    <w:rsid w:val="006625C4"/>
    <w:rsid w:val="00662B0D"/>
    <w:rsid w:val="00663C37"/>
    <w:rsid w:val="00664748"/>
    <w:rsid w:val="00682FD4"/>
    <w:rsid w:val="00695486"/>
    <w:rsid w:val="00695C86"/>
    <w:rsid w:val="006A4692"/>
    <w:rsid w:val="006A526D"/>
    <w:rsid w:val="006D3766"/>
    <w:rsid w:val="006E151B"/>
    <w:rsid w:val="00712F9B"/>
    <w:rsid w:val="00742C0C"/>
    <w:rsid w:val="00764917"/>
    <w:rsid w:val="00764D39"/>
    <w:rsid w:val="007656D6"/>
    <w:rsid w:val="007869A8"/>
    <w:rsid w:val="007A60C8"/>
    <w:rsid w:val="007C4056"/>
    <w:rsid w:val="007D0BDA"/>
    <w:rsid w:val="007D1D65"/>
    <w:rsid w:val="007E0CF0"/>
    <w:rsid w:val="007F25F5"/>
    <w:rsid w:val="00813BF2"/>
    <w:rsid w:val="00824274"/>
    <w:rsid w:val="00841D90"/>
    <w:rsid w:val="00844D70"/>
    <w:rsid w:val="00852B04"/>
    <w:rsid w:val="00867B45"/>
    <w:rsid w:val="00870577"/>
    <w:rsid w:val="0088713A"/>
    <w:rsid w:val="008A6CE8"/>
    <w:rsid w:val="008D027A"/>
    <w:rsid w:val="008D5CA0"/>
    <w:rsid w:val="008E3601"/>
    <w:rsid w:val="00915F92"/>
    <w:rsid w:val="00934C54"/>
    <w:rsid w:val="00941F2C"/>
    <w:rsid w:val="00952EB6"/>
    <w:rsid w:val="00956BB4"/>
    <w:rsid w:val="009607ED"/>
    <w:rsid w:val="0096761D"/>
    <w:rsid w:val="0097719E"/>
    <w:rsid w:val="009A19D7"/>
    <w:rsid w:val="009A4C01"/>
    <w:rsid w:val="009B7E60"/>
    <w:rsid w:val="009C0B1E"/>
    <w:rsid w:val="009C118E"/>
    <w:rsid w:val="009C704A"/>
    <w:rsid w:val="009D254B"/>
    <w:rsid w:val="009D38B5"/>
    <w:rsid w:val="009F3DA8"/>
    <w:rsid w:val="009F670D"/>
    <w:rsid w:val="00A057AC"/>
    <w:rsid w:val="00A303F5"/>
    <w:rsid w:val="00A40AE4"/>
    <w:rsid w:val="00A46386"/>
    <w:rsid w:val="00A56A89"/>
    <w:rsid w:val="00A63FD4"/>
    <w:rsid w:val="00A64A53"/>
    <w:rsid w:val="00A837EE"/>
    <w:rsid w:val="00A83890"/>
    <w:rsid w:val="00AA41B9"/>
    <w:rsid w:val="00AA7EE5"/>
    <w:rsid w:val="00AB0F26"/>
    <w:rsid w:val="00AB350D"/>
    <w:rsid w:val="00AD3355"/>
    <w:rsid w:val="00AD5488"/>
    <w:rsid w:val="00AD74D5"/>
    <w:rsid w:val="00AE174B"/>
    <w:rsid w:val="00AF3416"/>
    <w:rsid w:val="00AF6BFF"/>
    <w:rsid w:val="00B30B6A"/>
    <w:rsid w:val="00B32D2F"/>
    <w:rsid w:val="00B41681"/>
    <w:rsid w:val="00B539AD"/>
    <w:rsid w:val="00B63CF7"/>
    <w:rsid w:val="00B6506D"/>
    <w:rsid w:val="00B65A69"/>
    <w:rsid w:val="00B8506D"/>
    <w:rsid w:val="00B94922"/>
    <w:rsid w:val="00B96602"/>
    <w:rsid w:val="00BA0F93"/>
    <w:rsid w:val="00BA150C"/>
    <w:rsid w:val="00BA2A40"/>
    <w:rsid w:val="00BA3001"/>
    <w:rsid w:val="00BA37EC"/>
    <w:rsid w:val="00BB5CB4"/>
    <w:rsid w:val="00BF1B55"/>
    <w:rsid w:val="00C01A23"/>
    <w:rsid w:val="00C05651"/>
    <w:rsid w:val="00C27FF2"/>
    <w:rsid w:val="00C308DA"/>
    <w:rsid w:val="00C455B3"/>
    <w:rsid w:val="00C50E0D"/>
    <w:rsid w:val="00C57613"/>
    <w:rsid w:val="00C600F4"/>
    <w:rsid w:val="00C623CA"/>
    <w:rsid w:val="00C70E9B"/>
    <w:rsid w:val="00C816D3"/>
    <w:rsid w:val="00C838C9"/>
    <w:rsid w:val="00C853C3"/>
    <w:rsid w:val="00C9338D"/>
    <w:rsid w:val="00CA682A"/>
    <w:rsid w:val="00CE12A0"/>
    <w:rsid w:val="00CF2518"/>
    <w:rsid w:val="00D17FB6"/>
    <w:rsid w:val="00D234B6"/>
    <w:rsid w:val="00D24CDC"/>
    <w:rsid w:val="00D303DF"/>
    <w:rsid w:val="00D421C4"/>
    <w:rsid w:val="00D541FF"/>
    <w:rsid w:val="00D573C7"/>
    <w:rsid w:val="00D63642"/>
    <w:rsid w:val="00D84BAD"/>
    <w:rsid w:val="00D87EF6"/>
    <w:rsid w:val="00DB18BA"/>
    <w:rsid w:val="00DB6B31"/>
    <w:rsid w:val="00DC2AB4"/>
    <w:rsid w:val="00DC495F"/>
    <w:rsid w:val="00DC78D7"/>
    <w:rsid w:val="00DD33F4"/>
    <w:rsid w:val="00DF2B5F"/>
    <w:rsid w:val="00DF3407"/>
    <w:rsid w:val="00E02DEC"/>
    <w:rsid w:val="00E077CE"/>
    <w:rsid w:val="00E10445"/>
    <w:rsid w:val="00E14A71"/>
    <w:rsid w:val="00E16CDF"/>
    <w:rsid w:val="00E23AC7"/>
    <w:rsid w:val="00E30356"/>
    <w:rsid w:val="00E32CD4"/>
    <w:rsid w:val="00E44272"/>
    <w:rsid w:val="00E512AC"/>
    <w:rsid w:val="00E56CF3"/>
    <w:rsid w:val="00E63DB6"/>
    <w:rsid w:val="00E82B75"/>
    <w:rsid w:val="00E8778A"/>
    <w:rsid w:val="00E91D62"/>
    <w:rsid w:val="00E9279A"/>
    <w:rsid w:val="00E9344B"/>
    <w:rsid w:val="00EA2E56"/>
    <w:rsid w:val="00EB56AE"/>
    <w:rsid w:val="00EB65DD"/>
    <w:rsid w:val="00ED310B"/>
    <w:rsid w:val="00ED44F6"/>
    <w:rsid w:val="00EE0817"/>
    <w:rsid w:val="00EE7ABF"/>
    <w:rsid w:val="00F006E5"/>
    <w:rsid w:val="00F038C7"/>
    <w:rsid w:val="00F11282"/>
    <w:rsid w:val="00F12A1C"/>
    <w:rsid w:val="00F444E1"/>
    <w:rsid w:val="00F513CC"/>
    <w:rsid w:val="00F6284B"/>
    <w:rsid w:val="00F72C32"/>
    <w:rsid w:val="00F77739"/>
    <w:rsid w:val="00F86CC4"/>
    <w:rsid w:val="00F87F59"/>
    <w:rsid w:val="00FA7940"/>
    <w:rsid w:val="00FC5E7A"/>
    <w:rsid w:val="00FC66A3"/>
    <w:rsid w:val="00FD092F"/>
    <w:rsid w:val="00FD1420"/>
    <w:rsid w:val="00FE7416"/>
    <w:rsid w:val="09840F5A"/>
    <w:rsid w:val="439B30E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locked/>
    <w:uiPriority w:val="99"/>
    <w:rPr>
      <w:rFonts w:cs="Times New Roman"/>
      <w:sz w:val="18"/>
      <w:szCs w:val="18"/>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info1"/>
    <w:basedOn w:val="4"/>
    <w:qFormat/>
    <w:uiPriority w:val="99"/>
    <w:rPr>
      <w:rFonts w:cs="Times New Roman"/>
      <w:spacing w:val="15"/>
      <w:sz w:val="21"/>
      <w:szCs w:val="21"/>
    </w:rPr>
  </w:style>
  <w:style w:type="paragraph" w:customStyle="1" w:styleId="9">
    <w:name w:val="p0"/>
    <w:basedOn w:val="1"/>
    <w:qFormat/>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7</Pages>
  <Words>494</Words>
  <Characters>2819</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2017-05-08T07:16:00Z</dcterms:created>
  <dc:creator>微软用户</dc:creator>
  <cp:lastModifiedBy>4587548</cp:lastModifiedBy>
  <dcterms:modified xsi:type="dcterms:W3CDTF">2018-02-23T08:09:43Z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