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77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991"/>
        <w:gridCol w:w="1554"/>
        <w:gridCol w:w="589"/>
        <w:gridCol w:w="782"/>
        <w:gridCol w:w="3267"/>
        <w:gridCol w:w="616"/>
      </w:tblGrid>
      <w:tr w14:paraId="140E6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blHeader/>
          <w:jc w:val="center"/>
        </w:trPr>
        <w:tc>
          <w:tcPr>
            <w:tcW w:w="991" w:type="dxa"/>
            <w:shd w:val="clear" w:color="auto" w:fill="auto"/>
            <w:vAlign w:val="center"/>
          </w:tcPr>
          <w:p w14:paraId="0C8E0EB2">
            <w:pPr>
              <w:widowControl/>
              <w:adjustRightInd w:val="0"/>
              <w:snapToGrid w:val="0"/>
              <w:spacing w:line="140" w:lineRule="exact"/>
              <w:jc w:val="center"/>
              <w:rPr>
                <w:rFonts w:ascii="方正黑体_GBK" w:eastAsia="方正黑体_GBK"/>
                <w:bCs/>
                <w:snapToGrid w:val="0"/>
                <w:sz w:val="11"/>
                <w:szCs w:val="11"/>
              </w:rPr>
            </w:pPr>
            <w:r>
              <w:rPr>
                <w:rFonts w:hint="eastAsia" w:ascii="方正黑体_GBK" w:eastAsia="方正黑体_GBK"/>
                <w:bCs/>
                <w:snapToGrid w:val="0"/>
                <w:sz w:val="11"/>
                <w:szCs w:val="11"/>
              </w:rPr>
              <w:t>权力分类</w:t>
            </w:r>
          </w:p>
        </w:tc>
        <w:tc>
          <w:tcPr>
            <w:tcW w:w="1554" w:type="dxa"/>
            <w:shd w:val="clear" w:color="auto" w:fill="auto"/>
            <w:vAlign w:val="center"/>
          </w:tcPr>
          <w:p w14:paraId="54E06971">
            <w:pPr>
              <w:widowControl/>
              <w:adjustRightInd w:val="0"/>
              <w:snapToGrid w:val="0"/>
              <w:spacing w:line="140" w:lineRule="exact"/>
              <w:jc w:val="center"/>
              <w:rPr>
                <w:rFonts w:ascii="方正黑体_GBK" w:eastAsia="方正黑体_GBK"/>
                <w:bCs/>
                <w:snapToGrid w:val="0"/>
                <w:sz w:val="11"/>
                <w:szCs w:val="11"/>
              </w:rPr>
            </w:pPr>
            <w:r>
              <w:rPr>
                <w:rFonts w:hint="eastAsia" w:ascii="方正黑体_GBK" w:eastAsia="方正黑体_GBK"/>
                <w:bCs/>
                <w:snapToGrid w:val="0"/>
                <w:sz w:val="11"/>
                <w:szCs w:val="11"/>
              </w:rPr>
              <w:t>项目名称</w:t>
            </w:r>
          </w:p>
        </w:tc>
        <w:tc>
          <w:tcPr>
            <w:tcW w:w="589" w:type="dxa"/>
            <w:shd w:val="clear" w:color="auto" w:fill="auto"/>
            <w:vAlign w:val="center"/>
          </w:tcPr>
          <w:p w14:paraId="1A9AE47F">
            <w:pPr>
              <w:widowControl/>
              <w:adjustRightInd w:val="0"/>
              <w:snapToGrid w:val="0"/>
              <w:spacing w:line="140" w:lineRule="exact"/>
              <w:jc w:val="center"/>
              <w:rPr>
                <w:rFonts w:ascii="方正黑体_GBK" w:eastAsia="方正黑体_GBK"/>
                <w:bCs/>
                <w:snapToGrid w:val="0"/>
                <w:sz w:val="11"/>
                <w:szCs w:val="11"/>
              </w:rPr>
            </w:pPr>
            <w:r>
              <w:rPr>
                <w:rFonts w:hint="eastAsia" w:ascii="方正黑体_GBK" w:eastAsia="方正黑体_GBK"/>
                <w:bCs/>
                <w:snapToGrid w:val="0"/>
                <w:sz w:val="11"/>
                <w:szCs w:val="11"/>
              </w:rPr>
              <w:t>子项</w:t>
            </w:r>
          </w:p>
        </w:tc>
        <w:tc>
          <w:tcPr>
            <w:tcW w:w="782" w:type="dxa"/>
            <w:shd w:val="clear" w:color="auto" w:fill="auto"/>
            <w:vAlign w:val="center"/>
          </w:tcPr>
          <w:p w14:paraId="5D6E3021">
            <w:pPr>
              <w:widowControl/>
              <w:adjustRightInd w:val="0"/>
              <w:snapToGrid w:val="0"/>
              <w:spacing w:line="140" w:lineRule="exact"/>
              <w:jc w:val="center"/>
              <w:rPr>
                <w:rFonts w:ascii="方正黑体_GBK" w:eastAsia="方正黑体_GBK"/>
                <w:bCs/>
                <w:snapToGrid w:val="0"/>
                <w:sz w:val="11"/>
                <w:szCs w:val="11"/>
              </w:rPr>
            </w:pPr>
            <w:r>
              <w:rPr>
                <w:rFonts w:hint="eastAsia" w:ascii="方正黑体_GBK" w:eastAsia="方正黑体_GBK"/>
                <w:bCs/>
                <w:snapToGrid w:val="0"/>
                <w:sz w:val="11"/>
                <w:szCs w:val="11"/>
              </w:rPr>
              <w:t>办理项</w:t>
            </w:r>
          </w:p>
        </w:tc>
        <w:tc>
          <w:tcPr>
            <w:tcW w:w="3267" w:type="dxa"/>
            <w:shd w:val="clear" w:color="auto" w:fill="auto"/>
            <w:vAlign w:val="center"/>
          </w:tcPr>
          <w:p w14:paraId="0F159E11">
            <w:pPr>
              <w:widowControl/>
              <w:adjustRightInd w:val="0"/>
              <w:snapToGrid w:val="0"/>
              <w:spacing w:line="140" w:lineRule="exact"/>
              <w:jc w:val="center"/>
              <w:rPr>
                <w:rFonts w:ascii="方正黑体_GBK" w:eastAsia="方正黑体_GBK"/>
                <w:bCs/>
                <w:snapToGrid w:val="0"/>
                <w:sz w:val="11"/>
                <w:szCs w:val="11"/>
              </w:rPr>
            </w:pPr>
            <w:r>
              <w:rPr>
                <w:rFonts w:hint="eastAsia" w:ascii="方正黑体_GBK" w:eastAsia="方正黑体_GBK"/>
                <w:bCs/>
                <w:snapToGrid w:val="0"/>
                <w:sz w:val="11"/>
                <w:szCs w:val="11"/>
              </w:rPr>
              <w:t>实施依据</w:t>
            </w:r>
          </w:p>
        </w:tc>
        <w:tc>
          <w:tcPr>
            <w:tcW w:w="616" w:type="dxa"/>
            <w:shd w:val="clear" w:color="auto" w:fill="auto"/>
            <w:vAlign w:val="center"/>
          </w:tcPr>
          <w:p w14:paraId="670D2467">
            <w:pPr>
              <w:widowControl/>
              <w:adjustRightInd w:val="0"/>
              <w:snapToGrid w:val="0"/>
              <w:spacing w:line="140" w:lineRule="exact"/>
              <w:jc w:val="center"/>
              <w:rPr>
                <w:rFonts w:ascii="方正黑体_GBK" w:eastAsia="方正黑体_GBK"/>
                <w:bCs/>
                <w:snapToGrid w:val="0"/>
                <w:sz w:val="11"/>
                <w:szCs w:val="11"/>
              </w:rPr>
            </w:pPr>
            <w:r>
              <w:rPr>
                <w:rFonts w:hint="eastAsia" w:ascii="方正黑体_GBK" w:eastAsia="方正黑体_GBK"/>
                <w:bCs/>
                <w:snapToGrid w:val="0"/>
                <w:sz w:val="11"/>
                <w:szCs w:val="11"/>
              </w:rPr>
              <w:t>承办的职能部门机构</w:t>
            </w:r>
          </w:p>
        </w:tc>
      </w:tr>
      <w:tr w14:paraId="774B2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12492FF1">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338BC1A6">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用人单位违法延长劳动者工作时间的处罚</w:t>
            </w:r>
          </w:p>
        </w:tc>
        <w:tc>
          <w:tcPr>
            <w:tcW w:w="589" w:type="dxa"/>
            <w:shd w:val="clear" w:color="auto" w:fill="auto"/>
            <w:vAlign w:val="center"/>
          </w:tcPr>
          <w:p w14:paraId="68711BC9">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28341CEB">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1147F8C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【法律】《中华人民共和国劳动法》（1994年7月5日中华人民共和国主席令第28号公布，自1995年1月1日起施行）第九十条  用人单位违反本法规定，延长劳动者工作时间的，由劳动行政部门给予警告，责令改正，并可以处以罚款。</w:t>
            </w:r>
          </w:p>
          <w:p w14:paraId="68FCB77B">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【行政法规】《劳动保障监察条例》（2004年11月1日中华人民共和国国务院令第423号公布，自2004年12月1日起施行）第二十五条  用人单位违反劳动保障法律、法规或者规章延长劳动者工作时间的，由劳动保障行政部门给予警告，责令限期改正，并可以按照受侵害的劳动者每人100元以上500元以下的标准计算，处以罚款。</w:t>
            </w:r>
          </w:p>
        </w:tc>
        <w:tc>
          <w:tcPr>
            <w:tcW w:w="616" w:type="dxa"/>
            <w:shd w:val="clear" w:color="auto" w:fill="auto"/>
            <w:vAlign w:val="center"/>
          </w:tcPr>
          <w:p w14:paraId="6244BA54">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1874B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407E3C6A">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58829F0E">
            <w:pPr>
              <w:widowControl/>
              <w:adjustRightInd w:val="0"/>
              <w:snapToGrid w:val="0"/>
              <w:spacing w:line="140" w:lineRule="exact"/>
              <w:rPr>
                <w:rFonts w:eastAsia="方正书宋_GBK"/>
                <w:snapToGrid w:val="0"/>
                <w:sz w:val="11"/>
                <w:szCs w:val="11"/>
              </w:rPr>
            </w:pPr>
            <w:r>
              <w:rPr>
                <w:rFonts w:eastAsia="方正书宋_GBK"/>
                <w:snapToGrid w:val="0"/>
                <w:sz w:val="11"/>
                <w:szCs w:val="11"/>
              </w:rPr>
              <w:t>无理抗拒、阻挠实施劳动保障监察的，不按要求报送书面材料，隐瞒事实，出具伪证或隐匿、毁灭证据的，责令改正拒不改正或拒不履行行政处理决定，打击报复举报人、投诉人的处罚</w:t>
            </w:r>
          </w:p>
        </w:tc>
        <w:tc>
          <w:tcPr>
            <w:tcW w:w="589" w:type="dxa"/>
            <w:shd w:val="clear" w:color="auto" w:fill="auto"/>
            <w:vAlign w:val="center"/>
          </w:tcPr>
          <w:p w14:paraId="03297AA5">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6C9EDE9A">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52AF5B1B">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【法律】《中华人民共和国劳动法》（1994年7月5日中华人民共和国主席令第28号公布，自1995年1月1日起施行）第一百零一条  用人单位无理阻挠劳动行政部门、有关部门及其工作人员行使监督检查权，打击报复举报人员的，由劳动行政部门或者有关部门处以罚款；构成犯罪的，对责任人员依法追究刑事责任。</w:t>
            </w:r>
          </w:p>
          <w:p w14:paraId="557BEC0F">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【行政法规】《劳动保障监察条例》（2004年11月1日中华人民共和国国务院令第423号公布，自2004年12月1日起施行）第三十条第一款  有下列行为之一的，由劳动保障行政部门责令改正；对有第（一）项、第（二）项或者第（三）项规定的行为的，处2000元以上2万元以下的罚款：（一）无理抗拒、阻挠劳动保障行政部门依照本条例的规定实施劳动保障监察的；（二）不按照劳动保障行政部门的要求报送书面材料，隐瞒事实真相，出具伪证或者隐匿、毁灭证据的；（三）经劳动保障行政部门责令改正拒不改正，或者拒不履行劳动保障行政部门的行政处理决定的。</w:t>
            </w:r>
          </w:p>
        </w:tc>
        <w:tc>
          <w:tcPr>
            <w:tcW w:w="616" w:type="dxa"/>
            <w:shd w:val="clear" w:color="auto" w:fill="auto"/>
            <w:vAlign w:val="center"/>
          </w:tcPr>
          <w:p w14:paraId="71B25E10">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565D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7B7DF58C">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6F5FBCDD">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用人单位向社会保险经办机构申报应缴纳的社会保险费数额时，瞒报工资总额或者职工人数的处罚</w:t>
            </w:r>
          </w:p>
        </w:tc>
        <w:tc>
          <w:tcPr>
            <w:tcW w:w="589" w:type="dxa"/>
            <w:shd w:val="clear" w:color="auto" w:fill="auto"/>
            <w:vAlign w:val="center"/>
          </w:tcPr>
          <w:p w14:paraId="6ABD0803">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7830B094">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35376D44">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【行政法规】《劳动保障监察条例》（2004年11月1日中华人民共和国国务院令第423号公布，自2004年12月1日起施行）第二十七条第一款  用人单位向社会保险经办机构申报应缴纳的社会保险费数额时，瞒报工资总额或者职工人数的，由劳动保障行政部门责令改正，并处瞒报工资数额1倍以上3倍以下的罚款。</w:t>
            </w:r>
          </w:p>
        </w:tc>
        <w:tc>
          <w:tcPr>
            <w:tcW w:w="616" w:type="dxa"/>
            <w:shd w:val="clear" w:color="auto" w:fill="auto"/>
            <w:vAlign w:val="center"/>
          </w:tcPr>
          <w:p w14:paraId="5991FC7A">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2378C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4686497B">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55F21857">
            <w:pPr>
              <w:widowControl/>
              <w:adjustRightInd w:val="0"/>
              <w:snapToGrid w:val="0"/>
              <w:spacing w:line="140" w:lineRule="exact"/>
              <w:rPr>
                <w:rFonts w:eastAsia="方正书宋_GBK"/>
                <w:snapToGrid w:val="0"/>
                <w:sz w:val="11"/>
                <w:szCs w:val="11"/>
              </w:rPr>
            </w:pPr>
            <w:r>
              <w:rPr>
                <w:rFonts w:eastAsia="方正书宋_GBK"/>
                <w:snapToGrid w:val="0"/>
                <w:sz w:val="11"/>
                <w:szCs w:val="11"/>
              </w:rPr>
              <w:t>职业介绍机构、职业技能培训机构或职业技能考核鉴定机构违反国家有关职业介绍、职业技能培训或职业技能考核鉴定规定的处罚</w:t>
            </w:r>
          </w:p>
        </w:tc>
        <w:tc>
          <w:tcPr>
            <w:tcW w:w="589" w:type="dxa"/>
            <w:shd w:val="clear" w:color="auto" w:fill="auto"/>
            <w:vAlign w:val="center"/>
          </w:tcPr>
          <w:p w14:paraId="391C186A">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6532C7B1">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108D340B">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【行政法规】《劳动保障监察条例》（2004年11月1日中华人民共和国国务院令第423号公布，自2004年12月1日起施行）第二十八条第一款  职业介绍机构、职业技能培训机构或者职业技能考核鉴定机构违反国家有关职业介绍、职业技能培训或者职业技能考核鉴定的规定的，由劳动保障行政部门责令改正，没收违法所得，并处1万元以上5万元以下的罚款；情节严重的，吊销许可证。</w:t>
            </w:r>
          </w:p>
        </w:tc>
        <w:tc>
          <w:tcPr>
            <w:tcW w:w="616" w:type="dxa"/>
            <w:shd w:val="clear" w:color="auto" w:fill="auto"/>
            <w:vAlign w:val="center"/>
          </w:tcPr>
          <w:p w14:paraId="3A118424">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DC02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1C2FA528">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0A26C193">
            <w:pPr>
              <w:widowControl/>
              <w:adjustRightInd w:val="0"/>
              <w:snapToGrid w:val="0"/>
              <w:spacing w:line="140" w:lineRule="exact"/>
              <w:rPr>
                <w:rFonts w:eastAsia="方正书宋_GBK"/>
                <w:snapToGrid w:val="0"/>
                <w:sz w:val="11"/>
                <w:szCs w:val="11"/>
              </w:rPr>
            </w:pPr>
            <w:r>
              <w:rPr>
                <w:rFonts w:eastAsia="方正书宋_GBK"/>
                <w:snapToGrid w:val="0"/>
                <w:sz w:val="11"/>
                <w:szCs w:val="11"/>
              </w:rPr>
              <w:t>组织或个人未经人力资源社会保障行政部门许可，从事职业介绍、职业技能培训或职业技能考核鉴定的处罚</w:t>
            </w:r>
          </w:p>
        </w:tc>
        <w:tc>
          <w:tcPr>
            <w:tcW w:w="589" w:type="dxa"/>
            <w:shd w:val="clear" w:color="auto" w:fill="auto"/>
            <w:vAlign w:val="center"/>
          </w:tcPr>
          <w:p w14:paraId="5F6E7F67">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35015F35">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0F3D85EE">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【行政法规】《劳动保障监察条例》（2004年11月1日中华人民共和国国务院令第423号公布，自2004年12月1日起施行）第二十八条第二款  未经劳动保障行政部门许可，从事职业介绍、职业技能培训或者职业技能考核鉴定的组织或者个人，由劳动保障行政部门、工商行政管理部门依照国家有关无照经营查出取缔的规定查处取缔。</w:t>
            </w:r>
          </w:p>
        </w:tc>
        <w:tc>
          <w:tcPr>
            <w:tcW w:w="616" w:type="dxa"/>
            <w:shd w:val="clear" w:color="auto" w:fill="auto"/>
            <w:vAlign w:val="center"/>
          </w:tcPr>
          <w:p w14:paraId="6540C2A8">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6D9F7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61242F14">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6BFE1F81">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用人单位违反女职工和未成年工劳动保护规定的处罚</w:t>
            </w:r>
          </w:p>
        </w:tc>
        <w:tc>
          <w:tcPr>
            <w:tcW w:w="589" w:type="dxa"/>
            <w:shd w:val="clear" w:color="auto" w:fill="auto"/>
            <w:vAlign w:val="center"/>
          </w:tcPr>
          <w:p w14:paraId="091C2EF8">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62DBFEF0">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6E571B0C">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【法律】《中华人民共和国劳动法》（1994年7月5日中华人民共和国主席令第28号公布，自1995年1月1日起施行）第九十五条  用人单位违反本法对女职工和未成年工的保护规定，侵害其合法权益的，由劳动行政部门责令改正，处以罚款；对女职工或者未成年工造成损害的，应当承担赔偿责任。</w:t>
            </w:r>
          </w:p>
          <w:p w14:paraId="6A6B0DF4">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【行政法规】《劳动保障监察条例》（2004年11月1日中华人民共和国国务院令第423号公布，自2004年12月1日起施行）第二十三条  用人单位有下列行为之一的，由劳动保障行政部门责令改正，按照受侵害的劳动者每人1000元以上5000元以下的标准计算，处以罚款：</w:t>
            </w:r>
          </w:p>
          <w:p w14:paraId="3097F539">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（一）安排女职工从事矿山井下劳动、国家规定的第四级体力劳动强度的劳动或者其他禁忌从事的劳动的；</w:t>
            </w:r>
          </w:p>
          <w:p w14:paraId="18AD3B62">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（二）安排女职工在经期从事高处、低温、冷水作业或者国家规定的第三级体力劳动强度的劳动的；</w:t>
            </w:r>
          </w:p>
          <w:p w14:paraId="665050DB">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（三）安排女职工在怀孕期间从事国家规定的第三级体力劳动强度的劳动或者孕期禁忌从事的劳动的；</w:t>
            </w:r>
          </w:p>
          <w:p w14:paraId="112436E3">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（四）安排怀孕7个月以上的女职工夜班劳动或者延长其工作时间的；</w:t>
            </w:r>
          </w:p>
          <w:p w14:paraId="11424924">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（五）女职工生育享受产假少于90天的；</w:t>
            </w:r>
          </w:p>
          <w:p w14:paraId="01763E73">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（六）安排女职工在哺乳未满1周岁的婴儿期间从事国家规定的第三级体力劳动强度的劳动或者哺乳期禁忌从事的其他劳动，以及延长其工作时间或者安排其夜班劳动的；</w:t>
            </w:r>
          </w:p>
          <w:p w14:paraId="103379B7">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（七）安排未成年工从事矿山井下、有毒有害、国家规定的第四级体力劳动强度的劳动或者其他禁忌从事的劳动的；</w:t>
            </w:r>
          </w:p>
          <w:p w14:paraId="747695C7">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（八）未对未成年工定期进行健康检查的。</w:t>
            </w:r>
          </w:p>
        </w:tc>
        <w:tc>
          <w:tcPr>
            <w:tcW w:w="616" w:type="dxa"/>
            <w:shd w:val="clear" w:color="auto" w:fill="auto"/>
            <w:vAlign w:val="center"/>
          </w:tcPr>
          <w:p w14:paraId="4F86FE76">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6F0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13F914CB">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7B8A07D0">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用人单位使用童工的处罚</w:t>
            </w:r>
          </w:p>
        </w:tc>
        <w:tc>
          <w:tcPr>
            <w:tcW w:w="589" w:type="dxa"/>
            <w:shd w:val="clear" w:color="auto" w:fill="auto"/>
            <w:vAlign w:val="center"/>
          </w:tcPr>
          <w:p w14:paraId="3322DFC9">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7DD8028A">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07AAE706">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【法律】《中华人民共和国劳动法》（中华人民共和国主席令第28号，1994年7月5日公布，自1995年1月1日起施行，2009年8月27日修订）第九十四条  用人单位非法招用未满16周岁的未成年人的，由劳动行政部门责令改正，处以罚款；情节严重的，由工商行政管理部门吊销营业执照。</w:t>
            </w:r>
          </w:p>
          <w:p w14:paraId="27D7DCB6">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【法规】《禁止使用童工规定》（国务院令第364号，2002年10月1日颁布，自2002年12月1日起施行）第六条第一款  用人单位使用童工的，由劳动保障行政部门按照每使用一名童工每月处5000元罚款的标准给予处罚；在使用有毒物品的作业场所使用童工的，按照《使用有毒物品作业场所劳动保护条例》规定的罚款幅度，或者按照每使用一名童工每月处5000元罚款的标准，从重处罚。劳动保障行政部门并应当责令用人单位限期将童工送回原居住地交其父母或者其他监护人，所需交通和食宿费用全部由用人单位承担。 第六条第二款  用人单位经劳动保障行政部门依照前款规定责令限期改正，逾期仍不将童工送交其父母或者其他监护人的，从责令限期改正之日起，由劳动保障行政部门按照每使用一名童工每月处1万元罚款的标准处罚，并由工商行政管理部门吊销其营业执照或者由民政部门撤销民办非企业单位登记；用人单位是国家机关、事业单位的，由有关单位依法对直接负责的主管人员和其他直接责任人员给予降级或者撤职的行政处分或者纪律处分。</w:t>
            </w:r>
          </w:p>
        </w:tc>
        <w:tc>
          <w:tcPr>
            <w:tcW w:w="616" w:type="dxa"/>
            <w:shd w:val="clear" w:color="auto" w:fill="auto"/>
            <w:vAlign w:val="center"/>
          </w:tcPr>
          <w:p w14:paraId="389F05F7">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6AAD7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328EE278">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0C22ABCB">
            <w:pPr>
              <w:widowControl/>
              <w:adjustRightInd w:val="0"/>
              <w:snapToGrid w:val="0"/>
              <w:spacing w:line="140" w:lineRule="exact"/>
              <w:rPr>
                <w:rFonts w:eastAsia="方正书宋_GBK"/>
                <w:snapToGrid w:val="0"/>
                <w:sz w:val="11"/>
                <w:szCs w:val="11"/>
              </w:rPr>
            </w:pPr>
            <w:r>
              <w:rPr>
                <w:rFonts w:eastAsia="方正书宋_GBK"/>
                <w:snapToGrid w:val="0"/>
                <w:sz w:val="11"/>
                <w:szCs w:val="11"/>
              </w:rPr>
              <w:t>单位或个人、职业中介机构为不满16周岁的未成年人介绍就业的处罚</w:t>
            </w:r>
          </w:p>
        </w:tc>
        <w:tc>
          <w:tcPr>
            <w:tcW w:w="589" w:type="dxa"/>
            <w:shd w:val="clear" w:color="auto" w:fill="auto"/>
            <w:vAlign w:val="center"/>
          </w:tcPr>
          <w:p w14:paraId="5E0B84C0">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114A1880">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4DD35B4A">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【法律】《中华人民共和国劳动法》（中华人民共和国主席令第28号，1994年7月5日公布，自1995年1月1日起施行，2009年8月27日修订）第九十四条  用人单位非法招用未满16周岁的未成年人的，由劳动行政部门责令改正，处以罚款；情节严重的，由工商行政管理部门吊销营业执照。</w:t>
            </w:r>
          </w:p>
          <w:p w14:paraId="30B13562">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【行政法规】《禁止使用童工规定》（2002年10月1日中华人民共和国国务院令第364号公布，自2002年12月1日起施行）第七条  单位或者个人为不满16周岁的未成年人介绍就业的，由劳动保障行政部门按照每介绍一人处5000元罚款的标准给予处罚；职业中介机构为不满16周岁的未成年人介绍就业的，并由劳动保障行政部门吊销其职业介绍许可证。</w:t>
            </w:r>
          </w:p>
        </w:tc>
        <w:tc>
          <w:tcPr>
            <w:tcW w:w="616" w:type="dxa"/>
            <w:shd w:val="clear" w:color="auto" w:fill="auto"/>
            <w:vAlign w:val="center"/>
          </w:tcPr>
          <w:p w14:paraId="01AE1948">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0620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72AA1439">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64D5BEF8">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用人单位未按照《禁止使用童工规定》第四条的规定保存录用登记材料，或者伪造录用登记材料的处罚</w:t>
            </w:r>
          </w:p>
        </w:tc>
        <w:tc>
          <w:tcPr>
            <w:tcW w:w="589" w:type="dxa"/>
            <w:shd w:val="clear" w:color="auto" w:fill="auto"/>
            <w:vAlign w:val="center"/>
          </w:tcPr>
          <w:p w14:paraId="5EFC24B8">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2ACC20F8">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5339A52F">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【行政法规】《禁止使用童工规定》（2002年10月1日中华人民共和国国务院令第364号公布，自2002年12月1日起施行）第八条   用人单位未按照本规定第四条的规定保存录用登记材料，或者伪造录用登记材料的，由劳动保障行政部门处1万元的罚款。</w:t>
            </w:r>
          </w:p>
        </w:tc>
        <w:tc>
          <w:tcPr>
            <w:tcW w:w="616" w:type="dxa"/>
            <w:shd w:val="clear" w:color="auto" w:fill="auto"/>
            <w:vAlign w:val="center"/>
          </w:tcPr>
          <w:p w14:paraId="262EB647">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B60B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08A3A0F7">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517A2D52">
            <w:pPr>
              <w:widowControl/>
              <w:adjustRightInd w:val="0"/>
              <w:snapToGrid w:val="0"/>
              <w:spacing w:line="140" w:lineRule="exact"/>
              <w:rPr>
                <w:rFonts w:eastAsia="方正书宋_GBK"/>
                <w:snapToGrid w:val="0"/>
                <w:sz w:val="11"/>
                <w:szCs w:val="11"/>
              </w:rPr>
            </w:pPr>
            <w:r>
              <w:rPr>
                <w:rFonts w:eastAsia="方正书宋_GBK"/>
                <w:snapToGrid w:val="0"/>
                <w:sz w:val="11"/>
                <w:szCs w:val="11"/>
              </w:rPr>
              <w:t>无营业执照、被依法吊销营业执照的单位以及未依法登记、备案的单位使用童工或者介绍童工就业的处罚</w:t>
            </w:r>
          </w:p>
        </w:tc>
        <w:tc>
          <w:tcPr>
            <w:tcW w:w="589" w:type="dxa"/>
            <w:shd w:val="clear" w:color="auto" w:fill="auto"/>
            <w:vAlign w:val="center"/>
          </w:tcPr>
          <w:p w14:paraId="602B73B7">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25AB920A">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2DEEADD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【行政法规】《禁止使用童工规定》（2002年10月1日中华人民共和国国务院令第364号公布，自2002年12月1日起施行）第六条　用人单位使用童工的，由劳动保障行政部门按照每使用一名童工每月处5000元罚款的标准给予处罚；在使用有毒物品的作业场所使用童工的，按照《使用有毒物品作业场所劳动保护条例》规定的罚款幅度，或者按照每使用一名童工每月处5000元罚款的标准，从重处罚。劳动保障行政部门并应当责令用人单位限期将童工送回原居住地交其父母或者其他监护人，所需交通和食宿费用全部由用人单位承担。</w:t>
            </w:r>
          </w:p>
          <w:p w14:paraId="11B3093C">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用人单位经劳动保障行政部门依照前款规定责令限期改正，逾期仍不将童工送交其父母或者其他监护人的，从责令限期改正之日起，由劳动保障行政部门按照每使用一名童工每月处1万元罚款的标准处罚，并由工商行政管理部门吊销其营业执照或者由民政部门撤销民办非企业单位登记；用人单位是国家机关、事业单位的，由有关单位依法对直接负责的主管人员和其他直接责任人员给予降级或者撤职的行政处分或者纪律处分。</w:t>
            </w:r>
          </w:p>
          <w:p w14:paraId="790A7AA4">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第七条　单位或者个人为不满16周岁的未成年人介绍就业的，由劳动保障行政部门按照每介绍一人处5000元罚款的标准给予处罚；职业中介机构为不满16周岁的未成年人介绍就业的，并由劳动保障行政部门吊销其职业介绍许可证。</w:t>
            </w:r>
          </w:p>
          <w:p w14:paraId="1196E1ED">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第八条　用人单位未按照本规定第四条的规定保存录用登记材料，或者伪造录用登记材料的，由劳动保障行政部门处1万元的罚款。</w:t>
            </w:r>
          </w:p>
          <w:p w14:paraId="6B771FDB">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第九条  无营业执照、被依法吊销营业执照的单位以及未依法登记、备案的单位使用童工或者介绍童工就业的，依照本规定第六条、第七条、第八条规定的标准加一倍罚款，该非法单位由有关的行政主管部门予以取缔。</w:t>
            </w:r>
          </w:p>
        </w:tc>
        <w:tc>
          <w:tcPr>
            <w:tcW w:w="616" w:type="dxa"/>
            <w:shd w:val="clear" w:color="auto" w:fill="auto"/>
            <w:vAlign w:val="center"/>
          </w:tcPr>
          <w:p w14:paraId="26492994">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2C17D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302ECA09">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7096087B">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用人单位违反女职工孕产假及哺乳未满1周岁婴儿劳动时间或工作安排规定的处罚</w:t>
            </w:r>
          </w:p>
        </w:tc>
        <w:tc>
          <w:tcPr>
            <w:tcW w:w="589" w:type="dxa"/>
            <w:shd w:val="clear" w:color="auto" w:fill="auto"/>
            <w:vAlign w:val="center"/>
          </w:tcPr>
          <w:p w14:paraId="342A9BE8">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3F24F2BC">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3237DA1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【行政法规】《女职工劳动保护特别规定》（2012年4月28日中华人民共和国国务院令第619号公布，自2012年4月28日施行）第六条第二款  对怀孕7个月以上的女职工，用人单位不得延长劳动时间或者安排夜班劳动，并应当在劳动时间内安排一定的休息时间。</w:t>
            </w:r>
          </w:p>
          <w:p w14:paraId="4B995648">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第七条  女职工生育享受98天产假，其中产前可以休假15天；难产的，增加产假15天；生育多胞胎的，每多生育1个婴儿，增加产假15天。女职工怀孕未满4个月流产的，享受15天产假；怀孕满4个月流产的，享受42天产假。</w:t>
            </w:r>
          </w:p>
          <w:p w14:paraId="7FFDBFCD">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第九条第一款  对哺乳未满1周岁婴儿的女职工，用人单位不得延长劳动时间或者安排夜班劳动。</w:t>
            </w:r>
          </w:p>
          <w:p w14:paraId="238B00C4">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第十三条第一款   用人单位违反本规定第六条第二款、第七条、第九条第一款规定的，由县级以上人民政府人力资源社会保障行政部门责令限期改正，按照受侵害女职工没人1000元以上5000元以下的标准计算，处以罚款。</w:t>
            </w:r>
          </w:p>
        </w:tc>
        <w:tc>
          <w:tcPr>
            <w:tcW w:w="616" w:type="dxa"/>
            <w:shd w:val="clear" w:color="auto" w:fill="auto"/>
            <w:vAlign w:val="center"/>
          </w:tcPr>
          <w:p w14:paraId="47C28E8D">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29DBD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5007D967">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2DD801AD">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用人单位直接涉及劳动者切身利益的规章制度违反法律、法规规定的处罚</w:t>
            </w:r>
          </w:p>
        </w:tc>
        <w:tc>
          <w:tcPr>
            <w:tcW w:w="589" w:type="dxa"/>
            <w:shd w:val="clear" w:color="auto" w:fill="auto"/>
            <w:vAlign w:val="center"/>
          </w:tcPr>
          <w:p w14:paraId="39342223">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2EBF9AFC">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0039725E">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【法律】《中华人民共和国劳动合同法》（2007年6月29日中华人民共和国主席令第65号公布，自2008年1月1日起施行，2012年12月28日修改）第八十条  用人单位直接涉及劳动者切身利益的规章制度违反法律、法规规定的，由劳动行政部门责令改正，给予警告；给劳动者造成损害的，应当承担赔偿责任。</w:t>
            </w:r>
          </w:p>
        </w:tc>
        <w:tc>
          <w:tcPr>
            <w:tcW w:w="616" w:type="dxa"/>
            <w:shd w:val="clear" w:color="auto" w:fill="auto"/>
            <w:vAlign w:val="center"/>
          </w:tcPr>
          <w:p w14:paraId="109A0DC7">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34017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6CAF23C3">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594F2E3C">
            <w:pPr>
              <w:widowControl/>
              <w:adjustRightInd w:val="0"/>
              <w:snapToGrid w:val="0"/>
              <w:spacing w:line="140" w:lineRule="exact"/>
              <w:rPr>
                <w:rFonts w:eastAsia="方正书宋_GBK"/>
                <w:snapToGrid w:val="0"/>
                <w:sz w:val="11"/>
                <w:szCs w:val="11"/>
              </w:rPr>
            </w:pPr>
            <w:r>
              <w:rPr>
                <w:rFonts w:eastAsia="方正书宋_GBK"/>
                <w:snapToGrid w:val="0"/>
                <w:sz w:val="11"/>
                <w:szCs w:val="11"/>
              </w:rPr>
              <w:t>缴费单位违反社会保险费征缴监督检查相关规定的处罚</w:t>
            </w:r>
          </w:p>
        </w:tc>
        <w:tc>
          <w:tcPr>
            <w:tcW w:w="589" w:type="dxa"/>
            <w:shd w:val="clear" w:color="auto" w:fill="auto"/>
            <w:vAlign w:val="center"/>
          </w:tcPr>
          <w:p w14:paraId="59264125">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25369E2B">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30B224FC">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【部门规章】《社会保险费征缴监督检查办法》（1999年中华人民共和国劳动和社会保障部令第3号，1999年3月19日公布，自公布之日起实施）第五条  县级以上地方各级劳动保障行政部门对缴费单位监督检查的管辖范围，由省、自治区、直辖市劳动保障行政部门依照社会保险登记、缴费申报和缴费工作管理权限，制定具体规定。</w:t>
            </w:r>
          </w:p>
          <w:p w14:paraId="1988A8B1">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第十三条  对缴费单位有下列行为之一的，依照条例第十三条的规定，从欠缴之日起，按日加收千分之二的滞纳金，并对直接负责的主管人员和其他直接责任人员处以5000元以上20000元以下罚款:</w:t>
            </w:r>
          </w:p>
          <w:p w14:paraId="4EBE32AA">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（一）因伪造、变造、故意毁灭有关帐册、材料造成社会保险费迟延缴纳的;</w:t>
            </w:r>
          </w:p>
          <w:p w14:paraId="17966B78">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（二）因不设帐册造成社会保险费迟延缴纳的;</w:t>
            </w:r>
          </w:p>
          <w:p w14:paraId="73579695">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（三）因其他违法行为造成社会保险费迟延缴纳的。</w:t>
            </w:r>
          </w:p>
          <w:p w14:paraId="718B61FF">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第十四条  对缴费单位有下列行为之一的，应当给予警告，并可以处以5000元以下的罚款：</w:t>
            </w:r>
          </w:p>
          <w:p w14:paraId="09363CF3">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（一）伪造、变造社会保险登记证的；</w:t>
            </w:r>
          </w:p>
          <w:p w14:paraId="468AA3E8">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（二）未按规定从缴费个人工资中代扣代缴社会保险费的；</w:t>
            </w:r>
          </w:p>
          <w:p w14:paraId="08D43916">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（三）未按规定向职工公布本单位社会保险费缴纳情况的。</w:t>
            </w:r>
          </w:p>
          <w:p w14:paraId="1AD421C1">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对上述违法行为的行政处罚，法律、法规另有规定的，从其规定。</w:t>
            </w:r>
          </w:p>
        </w:tc>
        <w:tc>
          <w:tcPr>
            <w:tcW w:w="616" w:type="dxa"/>
            <w:shd w:val="clear" w:color="auto" w:fill="auto"/>
            <w:vAlign w:val="center"/>
          </w:tcPr>
          <w:p w14:paraId="2468C8E3">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5FE8C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4A0E02A8">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7EA8FF1C">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用人单位违法扣押劳动者居民身份证等证件的处罚</w:t>
            </w:r>
          </w:p>
        </w:tc>
        <w:tc>
          <w:tcPr>
            <w:tcW w:w="589" w:type="dxa"/>
            <w:shd w:val="clear" w:color="auto" w:fill="auto"/>
            <w:vAlign w:val="center"/>
          </w:tcPr>
          <w:p w14:paraId="1D0849C6">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373DEC35">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6D5467DF">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【法律】《中华人民共和国劳动合同法》（2007年6月29日中华人民共和国主席令第65号公布，自2008年1月1日起施行，2012年12月28日修订）第八十四条第一款  用人单位违反本法规定，扣押劳动者居民身份证等证件的，由劳动行政部门责令限期退还劳动者本人，并依照有关法律规定给予处罚。</w:t>
            </w:r>
          </w:p>
        </w:tc>
        <w:tc>
          <w:tcPr>
            <w:tcW w:w="616" w:type="dxa"/>
            <w:shd w:val="clear" w:color="auto" w:fill="auto"/>
            <w:vAlign w:val="center"/>
          </w:tcPr>
          <w:p w14:paraId="51702647">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3D904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0BF4B2E6">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44CBE65E">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用人单位以担保或者其他名义向劳动者收取财物的处罚</w:t>
            </w:r>
          </w:p>
        </w:tc>
        <w:tc>
          <w:tcPr>
            <w:tcW w:w="589" w:type="dxa"/>
            <w:shd w:val="clear" w:color="auto" w:fill="auto"/>
            <w:vAlign w:val="center"/>
          </w:tcPr>
          <w:p w14:paraId="06B9BF9A">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69711812">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7A2E8B1A">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【法律】《中华人民共和国劳动合同法》（2007年6月29日中华人民共和国主席令第65号公布，自2008年1月1日起施行，2012年12月28日修订）第八十四条第二款  用人单位违反本法规定，以担保或者其他名义向劳动者收取财物的，由劳动行政部门责令限期退还劳动者本人，并以每人五百元以上二千元以下的标准处以罚款；给劳动者造成损害的，应当承担赔偿责任。</w:t>
            </w:r>
          </w:p>
        </w:tc>
        <w:tc>
          <w:tcPr>
            <w:tcW w:w="616" w:type="dxa"/>
            <w:shd w:val="clear" w:color="auto" w:fill="auto"/>
            <w:vAlign w:val="center"/>
          </w:tcPr>
          <w:p w14:paraId="29EF4F58">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51C7E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4970569A">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45084441">
            <w:pPr>
              <w:widowControl/>
              <w:adjustRightInd w:val="0"/>
              <w:snapToGrid w:val="0"/>
              <w:spacing w:line="140" w:lineRule="exact"/>
              <w:rPr>
                <w:rFonts w:eastAsia="方正书宋_GBK"/>
                <w:snapToGrid w:val="0"/>
                <w:sz w:val="11"/>
                <w:szCs w:val="11"/>
              </w:rPr>
            </w:pPr>
            <w:r>
              <w:rPr>
                <w:rFonts w:eastAsia="方正书宋_GBK"/>
                <w:snapToGrid w:val="0"/>
                <w:sz w:val="11"/>
                <w:szCs w:val="11"/>
              </w:rPr>
              <w:t>劳动者依法解除或者终止劳动合同，用人单位扣押劳动者档案或者其他物品的处罚</w:t>
            </w:r>
          </w:p>
        </w:tc>
        <w:tc>
          <w:tcPr>
            <w:tcW w:w="589" w:type="dxa"/>
            <w:shd w:val="clear" w:color="auto" w:fill="auto"/>
            <w:vAlign w:val="center"/>
          </w:tcPr>
          <w:p w14:paraId="4CEB355C">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11AB1983">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306A769B">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【法律】《中华人民共和国劳动合同法》（2007年6月29日中华人民共和国主席令第65号公布，自2008年1月1日起施行，2012年12月28日修订）第八十四条第三款  劳动者依法解除或者终止劳动合同，用人单位扣押劳动者档案或者其他物品的，依照前款规定处罚。</w:t>
            </w:r>
          </w:p>
        </w:tc>
        <w:tc>
          <w:tcPr>
            <w:tcW w:w="616" w:type="dxa"/>
            <w:shd w:val="clear" w:color="auto" w:fill="auto"/>
            <w:vAlign w:val="center"/>
          </w:tcPr>
          <w:p w14:paraId="6B2A7BFE">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EDB2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1C18DBEF">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01D2AA19">
            <w:pPr>
              <w:widowControl/>
              <w:adjustRightInd w:val="0"/>
              <w:snapToGrid w:val="0"/>
              <w:spacing w:line="140" w:lineRule="exact"/>
              <w:rPr>
                <w:rFonts w:eastAsia="方正书宋_GBK"/>
                <w:snapToGrid w:val="0"/>
                <w:sz w:val="11"/>
                <w:szCs w:val="11"/>
              </w:rPr>
            </w:pPr>
            <w:r>
              <w:rPr>
                <w:rFonts w:eastAsia="方正书宋_GBK"/>
                <w:snapToGrid w:val="0"/>
                <w:sz w:val="11"/>
                <w:szCs w:val="11"/>
              </w:rPr>
              <w:t>未经许可，擅自经营劳务派遣业务的处罚</w:t>
            </w:r>
          </w:p>
        </w:tc>
        <w:tc>
          <w:tcPr>
            <w:tcW w:w="589" w:type="dxa"/>
            <w:shd w:val="clear" w:color="auto" w:fill="auto"/>
            <w:vAlign w:val="center"/>
          </w:tcPr>
          <w:p w14:paraId="17A69058">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4334D00A">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1A3AA6BA">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【法律】《中华人民共和国劳动合同法》（2007年6月29日中华人民共和国主席令第65号公布，自2008年1月1日起施行，2012年12月28日修订）第九十二条第一款  违反本法规定，未经许可，擅自经营劳务派遣业务的，由劳动行政部门责令停止违法行为，没收违法所得，并处违法所得一倍以上五倍以下的罚款；没有违法所得的，可以处五万元以下的罚款。</w:t>
            </w:r>
          </w:p>
          <w:p w14:paraId="20071EAD">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【部门规章】《劳务派遣行政许可实施办法》（2013年6月20日人力资源和社会保障部令第19号公布，自2013年7月1日起施行）第三十一条　 任何单位和个人违反《中华人民共和国劳动合同法》的规定，未经许可，擅自经营劳务派遣业务的，由人力资源社会保障行政部门责令停止违法行为，没收违法所得，并处违法所得1倍以上5倍以下的罚款；没有违法所得的，可以处5万元以下的罚款。</w:t>
            </w:r>
          </w:p>
        </w:tc>
        <w:tc>
          <w:tcPr>
            <w:tcW w:w="616" w:type="dxa"/>
            <w:shd w:val="clear" w:color="auto" w:fill="auto"/>
            <w:vAlign w:val="center"/>
          </w:tcPr>
          <w:p w14:paraId="3F46E26D">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15A85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16EEB6DC">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38F7E38E">
            <w:pPr>
              <w:widowControl/>
              <w:adjustRightInd w:val="0"/>
              <w:snapToGrid w:val="0"/>
              <w:spacing w:line="140" w:lineRule="exact"/>
              <w:rPr>
                <w:rFonts w:eastAsia="方正书宋_GBK"/>
                <w:snapToGrid w:val="0"/>
                <w:sz w:val="11"/>
                <w:szCs w:val="11"/>
              </w:rPr>
            </w:pPr>
            <w:r>
              <w:rPr>
                <w:rFonts w:eastAsia="方正书宋_GBK"/>
                <w:snapToGrid w:val="0"/>
                <w:sz w:val="11"/>
                <w:szCs w:val="11"/>
              </w:rPr>
              <w:t>劳务派遣单位、用工单位违反劳动合同法和劳动合同法实施条例有关劳务派遣规定的处罚</w:t>
            </w:r>
          </w:p>
        </w:tc>
        <w:tc>
          <w:tcPr>
            <w:tcW w:w="589" w:type="dxa"/>
            <w:shd w:val="clear" w:color="auto" w:fill="auto"/>
            <w:vAlign w:val="center"/>
          </w:tcPr>
          <w:p w14:paraId="7EDDBEF4">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2EB4B8FD">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5A136FD6">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【法律】《中华人民共和国劳动合同法》（2007年6月29日中华人民共和国主席令第65号公布，自2008年1月1日起施行，2012年12月28日修订）第九十二条第二款  劳务派遣单位、用工单位违反本法有关劳务派遣规定的，由劳动行政部门责令限期改正；限期不改正的，以每人五千元以上一万元以下的标准处以罚款，对劳务派遣单位，吊销其劳务派遣业务经营许可证。用工单位给被派遣劳动者造成损害的，劳务派遣单位与用工单位承担连带赔偿责任。</w:t>
            </w:r>
          </w:p>
          <w:p w14:paraId="2A456D81">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【行政法规】《中华人民共和国劳动合同法实施条例》（2008年9月18日中华人民共和国国务院令第535号公布，自2008年9月18日起施行）第三十五条  用工单位违反劳动合同法和本条例有关劳务派遣规定的，由劳动行政部门和其他有关主管部门责令改正；情节严重的，以每位被派遣劳动者1000元以上5000元以下的标准处以罚款；给被派遣劳动者造成损害的，劳务派遣单位和用工单位承担连带赔偿责任。</w:t>
            </w:r>
          </w:p>
          <w:p w14:paraId="29DABF26">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【部门规章】《劳务派遣暂行规定》（2014年1月24日中华人民共和国人力资源和社会保障部令第22号公布，自2014年3月1日起施行）第二十条  劳务派遣单位、用工单位违反劳动合同法和劳动合同法实施条例有关劳务派遣规定的，按照劳动合同法第九十二条规定执行。</w:t>
            </w:r>
          </w:p>
        </w:tc>
        <w:tc>
          <w:tcPr>
            <w:tcW w:w="616" w:type="dxa"/>
            <w:shd w:val="clear" w:color="auto" w:fill="auto"/>
            <w:vAlign w:val="center"/>
          </w:tcPr>
          <w:p w14:paraId="26368164">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13B10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7EA9CF68">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6553618F">
            <w:pPr>
              <w:widowControl/>
              <w:adjustRightInd w:val="0"/>
              <w:snapToGrid w:val="0"/>
              <w:spacing w:line="140" w:lineRule="exact"/>
              <w:rPr>
                <w:rFonts w:eastAsia="方正书宋_GBK"/>
                <w:snapToGrid w:val="0"/>
                <w:sz w:val="11"/>
                <w:szCs w:val="11"/>
              </w:rPr>
            </w:pPr>
            <w:r>
              <w:rPr>
                <w:rFonts w:eastAsia="方正书宋_GBK"/>
                <w:snapToGrid w:val="0"/>
                <w:sz w:val="11"/>
                <w:szCs w:val="11"/>
              </w:rPr>
              <w:t>用工单位决定使用被派遣劳动者的辅助性岗位，未经职工代表大会或者全体职工讨论，提出方案和意见，与工会或者职工代表平等协商确定，并在用工单位内公示的处罚</w:t>
            </w:r>
          </w:p>
        </w:tc>
        <w:tc>
          <w:tcPr>
            <w:tcW w:w="589" w:type="dxa"/>
            <w:shd w:val="clear" w:color="auto" w:fill="auto"/>
            <w:vAlign w:val="center"/>
          </w:tcPr>
          <w:p w14:paraId="1CBC9152">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636D5F45">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77A2696C">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【部门规章】《劳务派遣暂行规定》（2014年1月24日中华人民共和国人力资源和社会保障部令第22号公布，自2014年3月1日起施行）第三条第三款  用工单位决定使用被派遣劳动者的辅助性岗位，应当经职工代表大会或者全体职工讨论，提出方案和意见，与工会或者职工代表平等协商确定，并在用工单位内公示。</w:t>
            </w:r>
          </w:p>
          <w:p w14:paraId="7E6F9848">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第二十二条  用工单位违反本规定第三条第三款规定的，由人力资源社会保障行政部门责令改正，给予警告；给被派遣劳动者造成损害的，依法承担赔偿责任。</w:t>
            </w:r>
          </w:p>
        </w:tc>
        <w:tc>
          <w:tcPr>
            <w:tcW w:w="616" w:type="dxa"/>
            <w:shd w:val="clear" w:color="auto" w:fill="auto"/>
            <w:vAlign w:val="center"/>
          </w:tcPr>
          <w:p w14:paraId="253F1B85">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47228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24CCB1C4">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7208150F">
            <w:pPr>
              <w:widowControl/>
              <w:adjustRightInd w:val="0"/>
              <w:snapToGrid w:val="0"/>
              <w:spacing w:line="140" w:lineRule="exact"/>
              <w:rPr>
                <w:rFonts w:eastAsia="方正书宋_GBK"/>
                <w:snapToGrid w:val="0"/>
                <w:sz w:val="11"/>
                <w:szCs w:val="11"/>
              </w:rPr>
            </w:pPr>
            <w:r>
              <w:rPr>
                <w:rFonts w:eastAsia="方正书宋_GBK"/>
                <w:snapToGrid w:val="0"/>
                <w:sz w:val="11"/>
                <w:szCs w:val="11"/>
              </w:rPr>
              <w:t>劳务派遣单位涂改、倒卖、出租、出借《劳务派遣经营许可证》，或者以其他形式非法转让《劳务派遣经营许可证》的；隐瞒真实情况或者提交虚假材料取得劳务派遣行政许可的；以欺骗、贿赂等不正当手段取得劳务派遣行政许可的处罚</w:t>
            </w:r>
          </w:p>
        </w:tc>
        <w:tc>
          <w:tcPr>
            <w:tcW w:w="589" w:type="dxa"/>
            <w:shd w:val="clear" w:color="auto" w:fill="auto"/>
            <w:vAlign w:val="center"/>
          </w:tcPr>
          <w:p w14:paraId="37A1BFFA">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19452119">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5DDE5A8F">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【部门规章】《劳务派遣行政许可实施办法》（2013年6月20日中华人民共和国人力资源和社会保障部令第19号公布，自2013年7月1日起施行）第三十三条  劳务派遣单位有下列情形之一的，由人力资源社会保障行政部门处1万元以下的罚款；情节严重的，处1万元以上3万元以下的罚款：（一）涂改、倒卖、出租、出借《劳务派遣经营许可证》，或者以其他形式非法转让《劳务派遣经营许可证》的；（二）隐瞒真实情况或者提交虚假材料取得劳务派遣行政许可的；（三）以欺骗、贿赂等不正当手段取得劳务派遣行政许可的。</w:t>
            </w:r>
          </w:p>
        </w:tc>
        <w:tc>
          <w:tcPr>
            <w:tcW w:w="616" w:type="dxa"/>
            <w:shd w:val="clear" w:color="auto" w:fill="auto"/>
            <w:vAlign w:val="center"/>
          </w:tcPr>
          <w:p w14:paraId="11B5DBD4">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439C6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7E809151">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757CBC71">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用人单位违反劳动合同法有关建立职工名册规定的处罚</w:t>
            </w:r>
          </w:p>
        </w:tc>
        <w:tc>
          <w:tcPr>
            <w:tcW w:w="589" w:type="dxa"/>
            <w:shd w:val="clear" w:color="auto" w:fill="auto"/>
            <w:vAlign w:val="center"/>
          </w:tcPr>
          <w:p w14:paraId="05259ABC">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40A21235">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51FB333E">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【法律】《中华人民共和国劳动合同法》（2007年6月29日中华人民共和国主席令第65号公布，自2008年1月1日起施行，2012年12月28日修订）第七条  用人单位自用工之日起即与劳动者建立劳动关系。用人单位应当建立职工名册备查。</w:t>
            </w:r>
          </w:p>
          <w:p w14:paraId="1ACFD86C">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【行政法规】《中华人民共和国劳动合同法实施条例》（2008年9月18日中华人民共和国国务院令第535号公布，自2008年9月18日起施行）第八条  劳动合同法第七条规定的职工名册，应当包括劳动者姓名、性别、公民身份号码、户籍地址及现住址、联系方式、用工形式、用工起始时间、劳动合同期限等内容。</w:t>
            </w:r>
          </w:p>
          <w:p w14:paraId="71FD4AB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第三十三条  用人单位违反劳动合同法有关建立职工名册规定的，由劳动行政部门责令限期改正；逾期不改正的，由劳动行政部门处2000元以上2万元以下的罚款。</w:t>
            </w:r>
          </w:p>
        </w:tc>
        <w:tc>
          <w:tcPr>
            <w:tcW w:w="616" w:type="dxa"/>
            <w:shd w:val="clear" w:color="auto" w:fill="auto"/>
            <w:vAlign w:val="center"/>
          </w:tcPr>
          <w:p w14:paraId="2E4FDF6D">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48DDB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68E0F643">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1365CD04">
            <w:pPr>
              <w:widowControl/>
              <w:adjustRightInd w:val="0"/>
              <w:snapToGrid w:val="0"/>
              <w:spacing w:line="140" w:lineRule="exact"/>
              <w:rPr>
                <w:rFonts w:eastAsia="方正书宋_GBK"/>
                <w:snapToGrid w:val="0"/>
                <w:sz w:val="11"/>
                <w:szCs w:val="11"/>
              </w:rPr>
            </w:pPr>
            <w:r>
              <w:rPr>
                <w:rFonts w:eastAsia="方正书宋_GBK"/>
                <w:snapToGrid w:val="0"/>
                <w:sz w:val="11"/>
                <w:szCs w:val="11"/>
              </w:rPr>
              <w:t>企业未按照国家规定提取职工教育经费，或者挪用职工教育经费的处罚</w:t>
            </w:r>
          </w:p>
        </w:tc>
        <w:tc>
          <w:tcPr>
            <w:tcW w:w="589" w:type="dxa"/>
            <w:shd w:val="clear" w:color="auto" w:fill="auto"/>
            <w:vAlign w:val="center"/>
          </w:tcPr>
          <w:p w14:paraId="0DD00AB7">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5C79A714">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51101D7D">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【法律】《中华人民共和国就业促进法》（2007年8月30日中华人民共和国主席令第70号公布，自2008年1月1日起施行）第六十七条  违反本法规定，企业未按照国家规定提取职工教育经费，或者挪用职工教育经费的，由劳动行政部门责令改正，并依法给予处罚。</w:t>
            </w:r>
          </w:p>
        </w:tc>
        <w:tc>
          <w:tcPr>
            <w:tcW w:w="616" w:type="dxa"/>
            <w:shd w:val="clear" w:color="auto" w:fill="auto"/>
            <w:vAlign w:val="center"/>
          </w:tcPr>
          <w:p w14:paraId="0AC50C02">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558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7911AF10">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22618CCB">
            <w:pPr>
              <w:widowControl/>
              <w:adjustRightInd w:val="0"/>
              <w:snapToGrid w:val="0"/>
              <w:spacing w:line="140" w:lineRule="exact"/>
              <w:rPr>
                <w:rFonts w:eastAsia="方正书宋_GBK"/>
                <w:snapToGrid w:val="0"/>
                <w:sz w:val="11"/>
                <w:szCs w:val="11"/>
              </w:rPr>
            </w:pPr>
            <w:r>
              <w:rPr>
                <w:rFonts w:eastAsia="方正书宋_GBK"/>
                <w:snapToGrid w:val="0"/>
                <w:sz w:val="11"/>
                <w:szCs w:val="11"/>
              </w:rPr>
              <w:t>对拒绝人力资源社会行政部门检查就业证、擅自变更用人单位、擅自更换职业、擅自延长就业期限的外国人的处罚</w:t>
            </w:r>
          </w:p>
        </w:tc>
        <w:tc>
          <w:tcPr>
            <w:tcW w:w="589" w:type="dxa"/>
            <w:shd w:val="clear" w:color="auto" w:fill="auto"/>
            <w:vAlign w:val="center"/>
          </w:tcPr>
          <w:p w14:paraId="26B259CD">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478001D0">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1AE3BA58">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【规范性文件】《外国人在中国就业管理规定》（劳部发[1996]29号，1996年1月22日公布，自1996年5月1日起施行）第二十九条  对拒绝劳动行政部门检查就业证、擅自变更用人单位、擅自更换职业、擅自延长就业期限的外国人，由劳动行政部门收回其就业证，并提请公安机关取消其居留资格。对需该机关遣送出境的，遣送费用由聘用单位或该外国人承担。</w:t>
            </w:r>
          </w:p>
        </w:tc>
        <w:tc>
          <w:tcPr>
            <w:tcW w:w="616" w:type="dxa"/>
            <w:shd w:val="clear" w:color="auto" w:fill="auto"/>
            <w:vAlign w:val="center"/>
          </w:tcPr>
          <w:p w14:paraId="6AE804D5">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142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71B6FEA1">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52AFE955">
            <w:pPr>
              <w:widowControl/>
              <w:adjustRightInd w:val="0"/>
              <w:snapToGrid w:val="0"/>
              <w:spacing w:line="140" w:lineRule="exact"/>
              <w:rPr>
                <w:rFonts w:eastAsia="方正书宋_GBK"/>
                <w:snapToGrid w:val="0"/>
                <w:sz w:val="11"/>
                <w:szCs w:val="11"/>
              </w:rPr>
            </w:pPr>
            <w:r>
              <w:rPr>
                <w:rFonts w:eastAsia="方正书宋_GBK"/>
                <w:snapToGrid w:val="0"/>
                <w:sz w:val="11"/>
                <w:szCs w:val="11"/>
              </w:rPr>
              <w:t>对伪造、涂改、冒用、转让、买卖就业证和许可证书的外国人和用人单位的处罚</w:t>
            </w:r>
          </w:p>
        </w:tc>
        <w:tc>
          <w:tcPr>
            <w:tcW w:w="589" w:type="dxa"/>
            <w:shd w:val="clear" w:color="auto" w:fill="auto"/>
            <w:vAlign w:val="center"/>
          </w:tcPr>
          <w:p w14:paraId="23C49E4C">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7C1CBDF0">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536D4D6F">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【规范性文件】《外国人在中国就业管理规定》（劳部发[1996]29号，1996年1月22日公布，自1996年5月1日起施行）第三十条  对伪造、涂改、冒用、转让、买卖就业证和许可证书的外国人和用人单位，由劳动行政部门收缴就业证和许可证书，没收其非法所得，并处以一万元以上十万元以下的罚款；情节严重构成犯罪的，移送司法机关依法追究刑事责任。</w:t>
            </w:r>
          </w:p>
        </w:tc>
        <w:tc>
          <w:tcPr>
            <w:tcW w:w="616" w:type="dxa"/>
            <w:shd w:val="clear" w:color="auto" w:fill="auto"/>
            <w:vAlign w:val="center"/>
          </w:tcPr>
          <w:p w14:paraId="6660166B">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1F27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2EE50681">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2B530E3B">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用人单位在国家法律、行政法规和国务院卫生行政部门规定禁止乙肝病原携带者从事的工作岗位以外招用人员时，将乙肝病毒血清学指标作为体检标准的处罚</w:t>
            </w:r>
          </w:p>
        </w:tc>
        <w:tc>
          <w:tcPr>
            <w:tcW w:w="589" w:type="dxa"/>
            <w:shd w:val="clear" w:color="auto" w:fill="auto"/>
            <w:vAlign w:val="center"/>
          </w:tcPr>
          <w:p w14:paraId="20DBFECB">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51B38C24">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51BC683D">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【部门规章】《就业服务与就业管理规定》（2007年11月5日劳动和社会保障部令第28号公布，自2008年1月1日起施行，2014年12月23日修订）第十九条  用人单位招用人员，不得以是传染病病原携带者为由拒绝录用。但是，经医学鉴定传染病原携带者在治愈前或者排除传染嫌疑前，不得从事法律、行政法规和国务院卫生行政部门规定禁止从事的易使传染病扩散的工作。用人单位招用人员，除国家法律、行政法规和国务院卫生行政部门规定禁止乙肝病原携带者从事的工作外，不得强行将乙肝病毒血清学指标作为体检标准。</w:t>
            </w:r>
          </w:p>
          <w:p w14:paraId="5BA08228">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第六十八条  用人单位违反本规定第十九条第二款规定，在国家法律、行政法规和国务院卫生行政部门规定禁止乙肝病原携带者从事的工作岗位以外招用人员时，将乙肝病毒血清学指标作为体检标准的，由劳动保障行政部门责令改正，并可处以一千元以下的罚款；对当事人造成损害的，应当承担赔偿责任。</w:t>
            </w:r>
          </w:p>
        </w:tc>
        <w:tc>
          <w:tcPr>
            <w:tcW w:w="616" w:type="dxa"/>
            <w:shd w:val="clear" w:color="auto" w:fill="auto"/>
            <w:vAlign w:val="center"/>
          </w:tcPr>
          <w:p w14:paraId="549C36DB">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5ACD6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200FAA13">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3389A8BC">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用人单位招用人员提供虚假招聘信息、发布虚假招聘广告的；招用无合法身份证件的人员的；以招用人员为名牟取不正当利益或进行其他违法活动的处罚</w:t>
            </w:r>
          </w:p>
        </w:tc>
        <w:tc>
          <w:tcPr>
            <w:tcW w:w="589" w:type="dxa"/>
            <w:shd w:val="clear" w:color="auto" w:fill="auto"/>
            <w:vAlign w:val="center"/>
          </w:tcPr>
          <w:p w14:paraId="363A98F4">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3FE17769">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350DFBB6">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【部门规章】《就业服务与就业管理规定》（2007年11月5日劳动和社会保障部令第28号公布，自2008年1月1日起施行，2014年12月23日修订）第十四条  用人单位招用人员不得有下列行为：（一）提供虚假招聘信息，发布虚假招聘广告……（五）招用无合法身份证件的人员；（六）以招用人员为名牟取不正当利益或进行其他违法活动。</w:t>
            </w:r>
          </w:p>
          <w:p w14:paraId="30138C6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第六十七条  ……用人单位违反第十四条第（一）、（五）、（六）项规定的，由劳动保障行政部门责令改正，并可处以一千元以下的罚款；对当事人造成损害的，应当承担赔偿责任。</w:t>
            </w:r>
          </w:p>
        </w:tc>
        <w:tc>
          <w:tcPr>
            <w:tcW w:w="616" w:type="dxa"/>
            <w:shd w:val="clear" w:color="auto" w:fill="auto"/>
            <w:vAlign w:val="center"/>
          </w:tcPr>
          <w:p w14:paraId="52CD4FBF">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12F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28B5DDFE">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41F8CBD6">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用人单位招用人员或与职工终止或者解除劳动关系后，未依法办理登记手续的处罚</w:t>
            </w:r>
          </w:p>
        </w:tc>
        <w:tc>
          <w:tcPr>
            <w:tcW w:w="589" w:type="dxa"/>
            <w:shd w:val="clear" w:color="auto" w:fill="auto"/>
            <w:vAlign w:val="center"/>
          </w:tcPr>
          <w:p w14:paraId="0F1FDA57">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75442639">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20F3114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【部门规章】《就业服务与就业管理规定》（2007年11月5日劳动和社会保障部令第28号公布，自2008年1月1日起施行，2014年12月23日修订）第六十二条  劳动者被用人单位招用的，由用人单位为劳动者办理就业登记。用人单位招用劳动者和与劳动者终止或者解除劳动关系的，应当到当地公共就业服务机构备案，为劳动者办理就业登记手续。用人单位招用人员后，应当于录用之日起30日内办理登记手续；用人单位与职工终止或者解除劳动关系后，应当于15日内办理登记手续。劳动者从事个体经营或灵活就业的，由本人在街道、乡镇公共就业服务机构办理就业登记。就业登记的内容主要包括劳动者个人信息、就业类型、就业时间、就业单位以及订立、终止或者解除劳动合同情况等。就业登记的具体内容和所需材料由省级劳动保障行政部门规定。公共就业服务机构应当对用人单位办理就业登记及相关手续设立专门服务窗口，简化程序，方便用人单位办理。</w:t>
            </w:r>
          </w:p>
          <w:p w14:paraId="72B4BC2F">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第七十五条  用人单位违反本规定第六十二条规定，未及时为劳动者办理就业登记手续的，由劳动保障行政部门责令改正，并可处以一千元以下的罚款。</w:t>
            </w:r>
          </w:p>
        </w:tc>
        <w:tc>
          <w:tcPr>
            <w:tcW w:w="616" w:type="dxa"/>
            <w:shd w:val="clear" w:color="auto" w:fill="auto"/>
            <w:vAlign w:val="center"/>
          </w:tcPr>
          <w:p w14:paraId="20C03586">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4EC4C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0B9872C8">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676A4F25">
            <w:pPr>
              <w:widowControl/>
              <w:adjustRightInd w:val="0"/>
              <w:snapToGrid w:val="0"/>
              <w:spacing w:line="140" w:lineRule="exact"/>
              <w:rPr>
                <w:rFonts w:eastAsia="方正书宋_GBK"/>
                <w:snapToGrid w:val="0"/>
                <w:sz w:val="11"/>
                <w:szCs w:val="11"/>
              </w:rPr>
            </w:pPr>
            <w:r>
              <w:rPr>
                <w:rFonts w:eastAsia="方正书宋_GBK"/>
                <w:snapToGrid w:val="0"/>
                <w:sz w:val="11"/>
                <w:szCs w:val="11"/>
              </w:rPr>
              <w:t>企业违反《企业年金办法》的处罚</w:t>
            </w:r>
          </w:p>
        </w:tc>
        <w:tc>
          <w:tcPr>
            <w:tcW w:w="589" w:type="dxa"/>
            <w:shd w:val="clear" w:color="auto" w:fill="auto"/>
            <w:vAlign w:val="center"/>
          </w:tcPr>
          <w:p w14:paraId="0DCD38F3">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58B9726C">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5142B264">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【部门规章】《企业年金办法》（2017年12月18日人力资源和社会保障部令第36号公布，自20184年2月1日起施行）第二十九条  县级以上人民政府人力资源社会保障行政部门负责对本办法的执行情况进行监督检查。对违反本办法规定的，由人力资源社会保障行政部门予以警告，责令改正。</w:t>
            </w:r>
          </w:p>
        </w:tc>
        <w:tc>
          <w:tcPr>
            <w:tcW w:w="616" w:type="dxa"/>
            <w:shd w:val="clear" w:color="auto" w:fill="auto"/>
            <w:vAlign w:val="center"/>
          </w:tcPr>
          <w:p w14:paraId="019DF629">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250F1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2D7C72A3">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5C5850D2">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用人单位未按时足额缴纳社会保险费的处罚</w:t>
            </w:r>
          </w:p>
        </w:tc>
        <w:tc>
          <w:tcPr>
            <w:tcW w:w="589" w:type="dxa"/>
            <w:shd w:val="clear" w:color="auto" w:fill="auto"/>
            <w:vAlign w:val="center"/>
          </w:tcPr>
          <w:p w14:paraId="0AB9507D">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79B80027">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0058E8C2">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【法律】《中华人民共和国社会保险法》（2010年10月28日中华人民共和国主席令第35号公布，自2011年7月1日起施行）第八十六条  用人单位未按时足额缴纳社会保险费的，由社会保险费征收机构责令限期缴纳或者补足，并自欠缴之日起，按日加收万分之五的滞纳金；逾期仍不缴纳的，由有关行政部门处欠缴数额一倍以上三倍以下的罚款。</w:t>
            </w:r>
          </w:p>
        </w:tc>
        <w:tc>
          <w:tcPr>
            <w:tcW w:w="616" w:type="dxa"/>
            <w:shd w:val="clear" w:color="auto" w:fill="auto"/>
            <w:vAlign w:val="center"/>
          </w:tcPr>
          <w:p w14:paraId="64E592F4">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1DD29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17DD5B90">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6F7AC477">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用人单位不办理社会保险登记的处罚</w:t>
            </w:r>
          </w:p>
        </w:tc>
        <w:tc>
          <w:tcPr>
            <w:tcW w:w="589" w:type="dxa"/>
            <w:shd w:val="clear" w:color="auto" w:fill="auto"/>
            <w:vAlign w:val="center"/>
          </w:tcPr>
          <w:p w14:paraId="7A4E82CD">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2F8AF598">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2ED3E50C">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【法律】《中华人民共和国社会保险法》（2010年10月28日中华人民共和国主席令第35号公布，自2011年7月1日起施行）第五十七条第一款  用人单位应当自成立之日起三十日内凭营业执照、登记证书或者单位印章，向当地社会保险经办机构申请办理社会保险登记。社会保险经办机构应当自收到申请之日起十五日内予以审核，发给社会保险登记证件。</w:t>
            </w:r>
          </w:p>
          <w:p w14:paraId="47CABF19">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第五十七条第二款   用人单位的社会保险登记事项发生变更或者用人单位依法终止的，应当自变更或者终止之日起三十日内，到社会保险经办机构办理变更或者注销社会保险登记。</w:t>
            </w:r>
          </w:p>
          <w:p w14:paraId="3EFFF91B">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【法律】《中华人民共和国社会保险法》（2010年10月28日中华人民共和国主席令第35号公布，自2011年7月1日起施行）第八十四条  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w:t>
            </w:r>
          </w:p>
        </w:tc>
        <w:tc>
          <w:tcPr>
            <w:tcW w:w="616" w:type="dxa"/>
            <w:shd w:val="clear" w:color="auto" w:fill="auto"/>
            <w:vAlign w:val="center"/>
          </w:tcPr>
          <w:p w14:paraId="29F4F84F">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53FEE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600A9248">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67BB1880">
            <w:pPr>
              <w:widowControl/>
              <w:adjustRightInd w:val="0"/>
              <w:snapToGrid w:val="0"/>
              <w:spacing w:line="140" w:lineRule="exact"/>
              <w:rPr>
                <w:rFonts w:eastAsia="方正书宋_GBK"/>
                <w:snapToGrid w:val="0"/>
                <w:sz w:val="11"/>
                <w:szCs w:val="11"/>
              </w:rPr>
            </w:pPr>
            <w:r>
              <w:rPr>
                <w:rFonts w:eastAsia="方正书宋_GBK"/>
                <w:snapToGrid w:val="0"/>
                <w:sz w:val="11"/>
                <w:szCs w:val="11"/>
              </w:rPr>
              <w:t>违反规定，未经批准擅自设立中外合作办学机构，或以不正当手段骗取中外合作办学许可证的处罚</w:t>
            </w:r>
          </w:p>
        </w:tc>
        <w:tc>
          <w:tcPr>
            <w:tcW w:w="589" w:type="dxa"/>
            <w:shd w:val="clear" w:color="auto" w:fill="auto"/>
            <w:vAlign w:val="center"/>
          </w:tcPr>
          <w:p w14:paraId="76CE72B0">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09D51318">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7EF3E2D6">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【行政法规】《中华人民共和国中外合作办学条例》（2003年3月1日中华人民共和国国务院令第372号公布，自2003年9月1日起施行）第五十一条  违反本条例的规定，未经批准擅自设立中外合作办学机构，或者以不正当手段骗取中外合作办学许可证的，由教育行政部门、劳动行政部门按照职责分工予以取缔或者会同公安机关予以取缔，责令退还向学生收取的费用，并处以10万元以下的罚款；触犯刑律的，依照刑法关于诈骗罪或者其他罪的规定，依法追究刑事责任。</w:t>
            </w:r>
          </w:p>
        </w:tc>
        <w:tc>
          <w:tcPr>
            <w:tcW w:w="616" w:type="dxa"/>
            <w:shd w:val="clear" w:color="auto" w:fill="auto"/>
            <w:vAlign w:val="center"/>
          </w:tcPr>
          <w:p w14:paraId="3CD98585">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6223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1DA518C2">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45E7429B">
            <w:pPr>
              <w:widowControl/>
              <w:adjustRightInd w:val="0"/>
              <w:snapToGrid w:val="0"/>
              <w:spacing w:line="140" w:lineRule="exact"/>
              <w:rPr>
                <w:rFonts w:eastAsia="方正书宋_GBK"/>
                <w:snapToGrid w:val="0"/>
                <w:sz w:val="11"/>
                <w:szCs w:val="11"/>
              </w:rPr>
            </w:pPr>
            <w:r>
              <w:rPr>
                <w:rFonts w:eastAsia="方正书宋_GBK"/>
                <w:snapToGrid w:val="0"/>
                <w:sz w:val="11"/>
                <w:szCs w:val="11"/>
              </w:rPr>
              <w:t>违反规定，在中外合作办学机构筹备设立期间招收学生的处罚</w:t>
            </w:r>
          </w:p>
        </w:tc>
        <w:tc>
          <w:tcPr>
            <w:tcW w:w="589" w:type="dxa"/>
            <w:shd w:val="clear" w:color="auto" w:fill="auto"/>
            <w:vAlign w:val="center"/>
          </w:tcPr>
          <w:p w14:paraId="69F0A1DE">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7B350B3C">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539E57C5">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【行政法规】《中华人民共和国中外合作办学条例》（2003年3月1日中华人民共和国国务院令第372号公布，自2003年9月1日起施行）第五十二条  违反本条例的规定，在中外合作办学机构筹备设立期间招收学生的，由教育行政部门、劳动行政部门按照职责分工责令停止招生，责令退还向学生收取的费用，并处以10万元以下的罚款；情节严重的，拒不停止招生的，由审批机关撤销筹备设立批准书。</w:t>
            </w:r>
          </w:p>
        </w:tc>
        <w:tc>
          <w:tcPr>
            <w:tcW w:w="616" w:type="dxa"/>
            <w:shd w:val="clear" w:color="auto" w:fill="auto"/>
            <w:vAlign w:val="center"/>
          </w:tcPr>
          <w:p w14:paraId="5E67E74B">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69946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2E811B3D">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00FAF30C">
            <w:pPr>
              <w:widowControl/>
              <w:adjustRightInd w:val="0"/>
              <w:snapToGrid w:val="0"/>
              <w:spacing w:line="140" w:lineRule="exact"/>
              <w:rPr>
                <w:rFonts w:eastAsia="方正书宋_GBK"/>
                <w:snapToGrid w:val="0"/>
                <w:sz w:val="11"/>
                <w:szCs w:val="11"/>
              </w:rPr>
            </w:pPr>
            <w:r>
              <w:rPr>
                <w:rFonts w:eastAsia="方正书宋_GBK"/>
                <w:snapToGrid w:val="0"/>
                <w:sz w:val="11"/>
                <w:szCs w:val="11"/>
              </w:rPr>
              <w:t>中外合作办学者虚假出资或在中外合作办学机构成立后抽逃出资的处罚</w:t>
            </w:r>
          </w:p>
        </w:tc>
        <w:tc>
          <w:tcPr>
            <w:tcW w:w="589" w:type="dxa"/>
            <w:shd w:val="clear" w:color="auto" w:fill="auto"/>
            <w:vAlign w:val="center"/>
          </w:tcPr>
          <w:p w14:paraId="578C2018">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3E446BED">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72FB6969">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【行政法规】《中华人民共和国中外合作办学条例》（2003年3月1日中华人民共和国国务院令第372号公布，自2003年9月1日起施行）第五十三条  中外合作办学者虚假出资或者在中外合作办学机构成立后抽逃出资的，由教育行政部门、劳动行政部门按照职责分工责令限期改正的；逾期不改正的，由教育行政部门、劳动行政部门按照职责分工处以虚假出资金额或者抽逃出资金额2倍以下的罚款。</w:t>
            </w:r>
          </w:p>
        </w:tc>
        <w:tc>
          <w:tcPr>
            <w:tcW w:w="616" w:type="dxa"/>
            <w:shd w:val="clear" w:color="auto" w:fill="auto"/>
            <w:vAlign w:val="center"/>
          </w:tcPr>
          <w:p w14:paraId="402C2B25">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2546D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304F4105">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04EF08FD">
            <w:pPr>
              <w:widowControl/>
              <w:adjustRightInd w:val="0"/>
              <w:snapToGrid w:val="0"/>
              <w:spacing w:line="140" w:lineRule="exact"/>
              <w:rPr>
                <w:rFonts w:eastAsia="方正书宋_GBK"/>
                <w:snapToGrid w:val="0"/>
                <w:sz w:val="11"/>
                <w:szCs w:val="11"/>
              </w:rPr>
            </w:pPr>
            <w:r>
              <w:rPr>
                <w:rFonts w:eastAsia="方正书宋_GBK"/>
                <w:snapToGrid w:val="0"/>
                <w:sz w:val="11"/>
                <w:szCs w:val="11"/>
              </w:rPr>
              <w:t>中外合作办学机构违反规定，发布虚假招生简章，骗取钱财的处罚</w:t>
            </w:r>
          </w:p>
        </w:tc>
        <w:tc>
          <w:tcPr>
            <w:tcW w:w="589" w:type="dxa"/>
            <w:shd w:val="clear" w:color="auto" w:fill="auto"/>
            <w:vAlign w:val="center"/>
          </w:tcPr>
          <w:p w14:paraId="71AB02CB">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35D50AB0">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20DA6EA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【行政法规】《中华人民共和国中外合作办学条例》（2003年3月1日中华人民共和国国务院令第372号公布，自2003年9月1日起施行）第五十七条  违反本条例的规定，发布虚假招生简章，骗取钱财的，由教育行政部门、劳动行政部门按照职责分工，责令限期改正并予以警告；有违法所得的，退还所收费用后没收违法所得，并可处以10万元以下的罚款；情节严重的，责令停止招生、吊销中外合作办学许可证；构成犯罪的，依照刑法关于诈骗罪或者其他罪的规定，依法追究刑事责任。中外合作办学机构发布虚假招生广告的，依照《中华人民共和国广告法》的有关规定追究其法律责任。</w:t>
            </w:r>
          </w:p>
        </w:tc>
        <w:tc>
          <w:tcPr>
            <w:tcW w:w="616" w:type="dxa"/>
            <w:shd w:val="clear" w:color="auto" w:fill="auto"/>
            <w:vAlign w:val="center"/>
          </w:tcPr>
          <w:p w14:paraId="7D5F82A8">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56332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09D40619">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231A30DD">
            <w:pPr>
              <w:widowControl/>
              <w:adjustRightInd w:val="0"/>
              <w:snapToGrid w:val="0"/>
              <w:spacing w:line="140" w:lineRule="exact"/>
              <w:rPr>
                <w:rFonts w:eastAsia="方正书宋_GBK"/>
                <w:snapToGrid w:val="0"/>
                <w:sz w:val="11"/>
                <w:szCs w:val="11"/>
              </w:rPr>
            </w:pPr>
            <w:r>
              <w:rPr>
                <w:rFonts w:eastAsia="方正书宋_GBK"/>
                <w:snapToGrid w:val="0"/>
                <w:sz w:val="11"/>
                <w:szCs w:val="11"/>
              </w:rPr>
              <w:t>从事劳动能力鉴定的组织或者个人提供虚假鉴定意见的、提供虚假诊断证明的、收受当事人财物的处罚</w:t>
            </w:r>
          </w:p>
        </w:tc>
        <w:tc>
          <w:tcPr>
            <w:tcW w:w="589" w:type="dxa"/>
            <w:shd w:val="clear" w:color="auto" w:fill="auto"/>
            <w:vAlign w:val="center"/>
          </w:tcPr>
          <w:p w14:paraId="3F1720BB">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69D38B94">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496E0778">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【行政法规】《工伤保险条例》（2003年4月27日中华人民共和国国务院令第375号公布，自2004年1月1日起施行，2010年12月20日国务院令第586号修订）第六十一条  从事劳动能力鉴定的组织或者个人有下列情形之一的，由社会保险行政部门责令改正，处2000元以上1万元以下的罚款；情节严重，构成犯罪的，依法追究刑事责任：（一）提供虚假鉴定意见的；（二）提供虚假诊断证明的；（三）收受当事人财物的。</w:t>
            </w:r>
          </w:p>
        </w:tc>
        <w:tc>
          <w:tcPr>
            <w:tcW w:w="616" w:type="dxa"/>
            <w:shd w:val="clear" w:color="auto" w:fill="auto"/>
            <w:vAlign w:val="center"/>
          </w:tcPr>
          <w:p w14:paraId="5638316A">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6E7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342356DE">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5BA68B60">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用人单位未参加工伤保险的处罚</w:t>
            </w:r>
          </w:p>
        </w:tc>
        <w:tc>
          <w:tcPr>
            <w:tcW w:w="589" w:type="dxa"/>
            <w:shd w:val="clear" w:color="auto" w:fill="auto"/>
            <w:vAlign w:val="center"/>
          </w:tcPr>
          <w:p w14:paraId="02486FDA">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70B60635">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03D23A15">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【行政法规】《工伤保险条例》（2003年4月27日中华人民共和国国务院令第375号公布，自2004年1月1日起施行，2010年12月20日国务院令第586号修订）第六十二条第一款  用人单位依照本条例规定应当参加工伤保险而未参加的，由社会保险行政部门责令限期参加，补缴应当缴纳的工伤保险费，并自欠缴之日起，按日加收万分之五的滞纳金；逾期仍不缴纳的，处欠缴数额1倍以上3倍以下的罚款。</w:t>
            </w:r>
          </w:p>
        </w:tc>
        <w:tc>
          <w:tcPr>
            <w:tcW w:w="616" w:type="dxa"/>
            <w:shd w:val="clear" w:color="auto" w:fill="auto"/>
            <w:vAlign w:val="center"/>
          </w:tcPr>
          <w:p w14:paraId="40E248A3">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B3E7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14C743FB">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06910FB9">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用人单位拒不协助社会保险行政部门对事故进行调查核实的处罚</w:t>
            </w:r>
          </w:p>
        </w:tc>
        <w:tc>
          <w:tcPr>
            <w:tcW w:w="589" w:type="dxa"/>
            <w:shd w:val="clear" w:color="auto" w:fill="auto"/>
            <w:vAlign w:val="center"/>
          </w:tcPr>
          <w:p w14:paraId="73BD3D9E">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2866FDBC">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722D625F">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【行政法规】《工伤保险条例》（2003年4月27日中华人民共和国国务院令第375号公布，自2004年1月1日起施行，2010年12月20日国务院令第586号修订）第六十三条  用人单位违反本条例第十九条的规定，拒不协助社会保险行政部门对事故进行调查核实的，由社会保险行政部门责令改正，处2000元以上20000以下的罚款。</w:t>
            </w:r>
          </w:p>
        </w:tc>
        <w:tc>
          <w:tcPr>
            <w:tcW w:w="616" w:type="dxa"/>
            <w:shd w:val="clear" w:color="auto" w:fill="auto"/>
            <w:vAlign w:val="center"/>
          </w:tcPr>
          <w:p w14:paraId="34F3F42E">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9672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29BE2015">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04D601FB">
            <w:pPr>
              <w:widowControl/>
              <w:adjustRightInd w:val="0"/>
              <w:snapToGrid w:val="0"/>
              <w:spacing w:line="140" w:lineRule="exact"/>
              <w:rPr>
                <w:rFonts w:eastAsia="方正书宋_GBK"/>
                <w:snapToGrid w:val="0"/>
                <w:sz w:val="11"/>
                <w:szCs w:val="11"/>
              </w:rPr>
            </w:pPr>
            <w:r>
              <w:rPr>
                <w:rFonts w:eastAsia="方正书宋_GBK"/>
                <w:snapToGrid w:val="0"/>
                <w:sz w:val="11"/>
                <w:szCs w:val="11"/>
              </w:rPr>
              <w:t>用人单位不按规定如实填写《失业保险缴纳手册》或不如实出示本单位及职工缴纳失业保险情况的处罚</w:t>
            </w:r>
          </w:p>
        </w:tc>
        <w:tc>
          <w:tcPr>
            <w:tcW w:w="589" w:type="dxa"/>
            <w:shd w:val="clear" w:color="auto" w:fill="auto"/>
            <w:vAlign w:val="center"/>
          </w:tcPr>
          <w:p w14:paraId="164856B2">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7AFBA0B1">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6549A47A">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【地方政府规章】《广西壮族自治区失业保险办法》（2004年1月17日广西壮族自治区人民政府令第5号发布，自2004年3月1日起施行）第三十四条  单位不按本办法如实填写《失业保险缴纳手册》或不如实公布本单位及其职工缴纳失业保险费情况的，由劳动和社会保障行政部门责令限期改正；情节严重的，对其直接负责的主管人员和其直接责任人处以500元以上，1000元以下的罚款。</w:t>
            </w:r>
          </w:p>
        </w:tc>
        <w:tc>
          <w:tcPr>
            <w:tcW w:w="616" w:type="dxa"/>
            <w:shd w:val="clear" w:color="auto" w:fill="auto"/>
            <w:vAlign w:val="center"/>
          </w:tcPr>
          <w:p w14:paraId="3A7DCD56">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4B910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14B53F81">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1510D58E">
            <w:pPr>
              <w:widowControl/>
              <w:adjustRightInd w:val="0"/>
              <w:snapToGrid w:val="0"/>
              <w:spacing w:line="140" w:lineRule="exact"/>
              <w:rPr>
                <w:rFonts w:eastAsia="方正书宋_GBK"/>
                <w:snapToGrid w:val="0"/>
                <w:sz w:val="11"/>
                <w:szCs w:val="11"/>
              </w:rPr>
            </w:pPr>
            <w:r>
              <w:rPr>
                <w:rFonts w:eastAsia="方正书宋_GBK"/>
                <w:snapToGrid w:val="0"/>
                <w:sz w:val="11"/>
                <w:szCs w:val="11"/>
              </w:rPr>
              <w:t>职业中介机构未明示职业中介许可证、监督电话的处罚</w:t>
            </w:r>
          </w:p>
        </w:tc>
        <w:tc>
          <w:tcPr>
            <w:tcW w:w="589" w:type="dxa"/>
            <w:shd w:val="clear" w:color="auto" w:fill="auto"/>
            <w:vAlign w:val="center"/>
          </w:tcPr>
          <w:p w14:paraId="372DD2B0">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61DDFEC4">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4D3434CF">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【部门规章】《就业服务与就业管理规定》（2007年11月5日劳动和社会保障部令第28号公布，自2008年1月1日起施行，2014年12月23日修订）第五十三条  职业中介机构应当在服务场所明示营业执照、职业中介许可证、服务项目、收费标准、监督机关名称和监督电话等，并接受劳动保障行政部门及其他有关部门的监督检查。</w:t>
            </w:r>
          </w:p>
          <w:p w14:paraId="74FB1AA7">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第七十一条  职业中介机构违反本规定第五十三条规定，未明示职业中介许可证、监督电话的，由劳动保障行政部门责令改正，并可处以一千元以下的罚款。</w:t>
            </w:r>
          </w:p>
        </w:tc>
        <w:tc>
          <w:tcPr>
            <w:tcW w:w="616" w:type="dxa"/>
            <w:shd w:val="clear" w:color="auto" w:fill="auto"/>
            <w:vAlign w:val="center"/>
          </w:tcPr>
          <w:p w14:paraId="23CA540E">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47E24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4B671A2E">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52491D67">
            <w:pPr>
              <w:widowControl/>
              <w:adjustRightInd w:val="0"/>
              <w:snapToGrid w:val="0"/>
              <w:spacing w:line="140" w:lineRule="exact"/>
              <w:rPr>
                <w:rFonts w:eastAsia="方正书宋_GBK"/>
                <w:snapToGrid w:val="0"/>
                <w:sz w:val="11"/>
                <w:szCs w:val="11"/>
              </w:rPr>
            </w:pPr>
            <w:r>
              <w:rPr>
                <w:rFonts w:eastAsia="方正书宋_GBK"/>
                <w:snapToGrid w:val="0"/>
                <w:sz w:val="11"/>
                <w:szCs w:val="11"/>
              </w:rPr>
              <w:t>职业中介机构未建立服务台账，或虽建立服务台账但未记录服务对象、服务过程、服务结果和收费情况的处罚</w:t>
            </w:r>
          </w:p>
        </w:tc>
        <w:tc>
          <w:tcPr>
            <w:tcW w:w="589" w:type="dxa"/>
            <w:shd w:val="clear" w:color="auto" w:fill="auto"/>
            <w:vAlign w:val="center"/>
          </w:tcPr>
          <w:p w14:paraId="4CEF6F1C">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0DE9DB3C">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63AD3B99">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【部门规章】《就业服务与就业管理规定》（2007年11月5日劳动和社会保障部令第28号公布，自2008年1月1日起施行，2014年12月23日修订）第五十四条  职业中介机构应当建立服务台账，记录服务对象、服务过程、服务结果和收费情况等，并接受劳动保障行政部门的监督检查。</w:t>
            </w:r>
          </w:p>
          <w:p w14:paraId="528E3C73">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第七十二条  职业中介机构违反本规定第五十四条规定，未建立服务台账，或虽建立服务台账但未记录服务对象、服务过程、服务结果和收费情况的，由劳动保障行政部门责令改正，并可处以一千元以下的罚款。</w:t>
            </w:r>
          </w:p>
        </w:tc>
        <w:tc>
          <w:tcPr>
            <w:tcW w:w="616" w:type="dxa"/>
            <w:shd w:val="clear" w:color="auto" w:fill="auto"/>
            <w:vAlign w:val="center"/>
          </w:tcPr>
          <w:p w14:paraId="5C890CA4">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165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18D12807">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34013545">
            <w:pPr>
              <w:widowControl/>
              <w:adjustRightInd w:val="0"/>
              <w:snapToGrid w:val="0"/>
              <w:spacing w:line="140" w:lineRule="exact"/>
              <w:rPr>
                <w:rFonts w:eastAsia="方正书宋_GBK"/>
                <w:snapToGrid w:val="0"/>
                <w:sz w:val="11"/>
                <w:szCs w:val="11"/>
              </w:rPr>
            </w:pPr>
            <w:r>
              <w:rPr>
                <w:rFonts w:eastAsia="方正书宋_GBK"/>
                <w:snapToGrid w:val="0"/>
                <w:sz w:val="11"/>
                <w:szCs w:val="11"/>
              </w:rPr>
              <w:t>职业中介机构在职业中介服务不成功后未向劳动者退还所收取的中介服务费的处罚</w:t>
            </w:r>
          </w:p>
        </w:tc>
        <w:tc>
          <w:tcPr>
            <w:tcW w:w="589" w:type="dxa"/>
            <w:shd w:val="clear" w:color="auto" w:fill="auto"/>
            <w:vAlign w:val="center"/>
          </w:tcPr>
          <w:p w14:paraId="78120960">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43183A37">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24102CF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【部门规章】《就业服务与就业管理规定》（2007年11月5日劳动和社会保障部令第28号公布，自2008年1月1日起施行，2014年12月23日修订）第五十五条  职业中介机构提供职业中介服务不成功的，应当退还向劳动者收取的中介服务费。</w:t>
            </w:r>
          </w:p>
          <w:p w14:paraId="7E26ECF4">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第七十三条  职业中介机构违反本规定第五十五条规定，在职业中介服务不成功后未向劳动者退还所收取的中介服务费的，由劳动保障行政部门责令改正，并可处以一千元以下的罚款。</w:t>
            </w:r>
          </w:p>
        </w:tc>
        <w:tc>
          <w:tcPr>
            <w:tcW w:w="616" w:type="dxa"/>
            <w:shd w:val="clear" w:color="auto" w:fill="auto"/>
            <w:vAlign w:val="center"/>
          </w:tcPr>
          <w:p w14:paraId="37B1CC58">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12A43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04D271CB">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7FDE314E">
            <w:pPr>
              <w:widowControl/>
              <w:adjustRightInd w:val="0"/>
              <w:snapToGrid w:val="0"/>
              <w:spacing w:line="140" w:lineRule="exact"/>
              <w:rPr>
                <w:rFonts w:eastAsia="方正书宋_GBK"/>
                <w:snapToGrid w:val="0"/>
                <w:sz w:val="11"/>
                <w:szCs w:val="11"/>
              </w:rPr>
            </w:pPr>
            <w:r>
              <w:rPr>
                <w:rFonts w:eastAsia="方正书宋_GBK"/>
                <w:snapToGrid w:val="0"/>
                <w:sz w:val="11"/>
                <w:szCs w:val="11"/>
              </w:rPr>
              <w:t>职业中介机构发布的就业信息中包含歧视性内容的；为无合法身份证件的劳动者提供职业中介服务的；介绍劳动者从事法律、法规禁止从事的职业的；以暴力、胁迫、欺诈等方式进行职业中介活动的；超出核准的业务范围经营的；其他违反法律、法规规定的行为的处罚</w:t>
            </w:r>
          </w:p>
        </w:tc>
        <w:tc>
          <w:tcPr>
            <w:tcW w:w="589" w:type="dxa"/>
            <w:shd w:val="clear" w:color="auto" w:fill="auto"/>
            <w:vAlign w:val="center"/>
          </w:tcPr>
          <w:p w14:paraId="655039E1">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3450F48F">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176DF82F">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【部门规章】《就业服务与就业管理规定》（2007年11月5日劳动和社会保障部令第28号公布，自2008年1月1日起施行，2014年12月23日修订）第五十八条  禁止职业中介机构有下列行为：（一）提供虚假就业信息；（二）发布的就业信息中包含歧视性内容；（三）伪造、涂改、转让职业中介许可证；（四）为无合法证照的用人单位提供职业中介服务；（五）介绍未满16周岁的未成年人就业；（六）为无合法身份证件的劳动者提供职业中介服务；（七）介绍劳动者从事法律、法规禁止从事的职业；（八）扣押劳动者的居民身份证和其他证件，或者向劳动者收取押金；（九）以暴力、胁迫、欺诈等方式进行职业中介活动；（十）超出核准的业务范围经营；（十一）其他违反法律、法规规定的行为。</w:t>
            </w:r>
          </w:p>
          <w:p w14:paraId="25589B6B">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第七十四条  职业中介机构违反本规定第（一）、（三）、（四）、（八）项规定的，按照就业促进法第六十五条、第六十六条规定予以处罚。违反本规定第五十八条第（五）项规定的，按照国家禁止使用童工的规定予以处罚。违反本规定第五十八条其他各项规定的，由劳动保障行政部门责令改正，没有违法所得的，可处以一万元以下的罚款；有违法所得的，可处以不超过违法所得三倍的罚款，但最高不得超过三万元；情节严重的，提请工商部门依法吊销营业执照；对当事人造成损害的，应当承担赔偿责任。</w:t>
            </w:r>
          </w:p>
        </w:tc>
        <w:tc>
          <w:tcPr>
            <w:tcW w:w="616" w:type="dxa"/>
            <w:shd w:val="clear" w:color="auto" w:fill="auto"/>
            <w:vAlign w:val="center"/>
          </w:tcPr>
          <w:p w14:paraId="0186902D">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170BE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2B5CA380">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0D5FC6D5">
            <w:pPr>
              <w:widowControl/>
              <w:adjustRightInd w:val="0"/>
              <w:snapToGrid w:val="0"/>
              <w:spacing w:line="140" w:lineRule="exact"/>
              <w:rPr>
                <w:rFonts w:eastAsia="方正书宋_GBK"/>
                <w:snapToGrid w:val="0"/>
                <w:sz w:val="11"/>
                <w:szCs w:val="11"/>
              </w:rPr>
            </w:pPr>
            <w:r>
              <w:rPr>
                <w:rFonts w:eastAsia="方正书宋_GBK"/>
                <w:snapToGrid w:val="0"/>
                <w:sz w:val="11"/>
                <w:szCs w:val="11"/>
              </w:rPr>
              <w:t>未经许可和登记，擅自从事职业中介活动的处罚</w:t>
            </w:r>
          </w:p>
        </w:tc>
        <w:tc>
          <w:tcPr>
            <w:tcW w:w="589" w:type="dxa"/>
            <w:shd w:val="clear" w:color="auto" w:fill="auto"/>
            <w:vAlign w:val="center"/>
          </w:tcPr>
          <w:p w14:paraId="689B38B5">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7A140DCF">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02E7792C">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【法律】《中华人民共和国就业促进法》（2007年8月30日中华人民共和国主席令第70号公布，自2008年1月1日起施行）第六十四条  违反本法规定，未经许可和登记，擅自从事职业中介活动的，由劳动行政部门或者其他主管部门依法予以关闭；有违法所得的，没收违法所得，并处一万元以上五万元以下的罚款。</w:t>
            </w:r>
          </w:p>
        </w:tc>
        <w:tc>
          <w:tcPr>
            <w:tcW w:w="616" w:type="dxa"/>
            <w:shd w:val="clear" w:color="auto" w:fill="auto"/>
            <w:vAlign w:val="center"/>
          </w:tcPr>
          <w:p w14:paraId="08FE2DD9">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0F5A8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032E666E">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3AB809F4">
            <w:pPr>
              <w:widowControl/>
              <w:adjustRightInd w:val="0"/>
              <w:snapToGrid w:val="0"/>
              <w:spacing w:line="140" w:lineRule="exact"/>
              <w:rPr>
                <w:rFonts w:eastAsia="方正书宋_GBK"/>
                <w:snapToGrid w:val="0"/>
                <w:sz w:val="11"/>
                <w:szCs w:val="11"/>
              </w:rPr>
            </w:pPr>
            <w:r>
              <w:rPr>
                <w:rFonts w:eastAsia="方正书宋_GBK"/>
                <w:snapToGrid w:val="0"/>
                <w:sz w:val="11"/>
                <w:szCs w:val="11"/>
              </w:rPr>
              <w:t>职业中介机构提供虚假就业信息，为无合法证照的用人单位提供职业中介服务，伪造、涂改、转让职业中介许可证的处罚</w:t>
            </w:r>
          </w:p>
        </w:tc>
        <w:tc>
          <w:tcPr>
            <w:tcW w:w="589" w:type="dxa"/>
            <w:shd w:val="clear" w:color="auto" w:fill="auto"/>
            <w:vAlign w:val="center"/>
          </w:tcPr>
          <w:p w14:paraId="5163167C">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1FD4B860">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6F7E79EA">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【法律】《中华人民共和国就业促进法》（2007年8月30日中华人民共和国主席令第70号公布，自2008年1月1日起施行）第六十五条  违反本法规定，职业中介机构提供虚假就业信息，为无合法证照的用人单位提供职业中介服务，伪造、涂改、转让职业中介许可证的，由劳动行政部门或者其他主管部门责令改正；有违法所得的，没收违法所得，并处一万元以上五万元以下的罚款；情节严重的，吊销职业中介许可证。</w:t>
            </w:r>
          </w:p>
        </w:tc>
        <w:tc>
          <w:tcPr>
            <w:tcW w:w="616" w:type="dxa"/>
            <w:shd w:val="clear" w:color="auto" w:fill="auto"/>
            <w:vAlign w:val="center"/>
          </w:tcPr>
          <w:p w14:paraId="5C072EFB">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1B3D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3B76FBD9">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08C382E0">
            <w:pPr>
              <w:widowControl/>
              <w:adjustRightInd w:val="0"/>
              <w:snapToGrid w:val="0"/>
              <w:spacing w:line="140" w:lineRule="exact"/>
              <w:rPr>
                <w:rFonts w:eastAsia="方正书宋_GBK"/>
                <w:snapToGrid w:val="0"/>
                <w:sz w:val="11"/>
                <w:szCs w:val="11"/>
              </w:rPr>
            </w:pPr>
            <w:r>
              <w:rPr>
                <w:rFonts w:eastAsia="方正书宋_GBK"/>
                <w:snapToGrid w:val="0"/>
                <w:sz w:val="11"/>
                <w:szCs w:val="11"/>
              </w:rPr>
              <w:t>职业中介机构违法向劳动者收取押金的处罚</w:t>
            </w:r>
          </w:p>
        </w:tc>
        <w:tc>
          <w:tcPr>
            <w:tcW w:w="589" w:type="dxa"/>
            <w:shd w:val="clear" w:color="auto" w:fill="auto"/>
            <w:vAlign w:val="center"/>
          </w:tcPr>
          <w:p w14:paraId="102756BC">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71755D4B">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55069456">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【法律】《中华人民共和国就业促进法》（2007年8月30日中华人民共和国主席令第70号公布，自2008年1月1日起施行）第六十六条第二款   ……违反本法规定，职业中介机构向劳动者收取押金的，由劳动行政部门责令限期退还劳动者，并以每人五百元以上二千元以下的标准处以罚款。</w:t>
            </w:r>
          </w:p>
        </w:tc>
        <w:tc>
          <w:tcPr>
            <w:tcW w:w="616" w:type="dxa"/>
            <w:shd w:val="clear" w:color="auto" w:fill="auto"/>
            <w:vAlign w:val="center"/>
          </w:tcPr>
          <w:p w14:paraId="4BC33676">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14A8C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78FABEB6">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584DCB4F">
            <w:pPr>
              <w:widowControl/>
              <w:adjustRightInd w:val="0"/>
              <w:snapToGrid w:val="0"/>
              <w:spacing w:line="140" w:lineRule="exact"/>
              <w:rPr>
                <w:rFonts w:eastAsia="方正书宋_GBK"/>
                <w:snapToGrid w:val="0"/>
                <w:sz w:val="11"/>
                <w:szCs w:val="11"/>
              </w:rPr>
            </w:pPr>
            <w:r>
              <w:rPr>
                <w:rFonts w:eastAsia="方正书宋_GBK"/>
                <w:snapToGrid w:val="0"/>
                <w:sz w:val="11"/>
                <w:szCs w:val="11"/>
              </w:rPr>
              <w:t>未经许可设立人才中介服务机构的处罚</w:t>
            </w:r>
          </w:p>
        </w:tc>
        <w:tc>
          <w:tcPr>
            <w:tcW w:w="589" w:type="dxa"/>
            <w:shd w:val="clear" w:color="auto" w:fill="auto"/>
            <w:vAlign w:val="center"/>
          </w:tcPr>
          <w:p w14:paraId="280ECCD6">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10B761FF">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1A33C2C9">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【地方政府规章】《广西壮族自治区人才市场管理办法》（2007年3月19日广西壮族自治区人民政府令第21号发布，自2007年5月1日起施行）第二十四条  违反本办法规定，未经许可设立人才中介服务机构的，由县级以上人事行政部门责令停办，并处1万元以下罚款；有违法所得的，可处以不超过违法所得3倍的罚款，但最高不超过3万元。以营利为目的，擅自从事人才中介服务活动的，由县级以上人事行政部门责令停止活动，可处以2000元以上1万元以下罚款。</w:t>
            </w:r>
          </w:p>
        </w:tc>
        <w:tc>
          <w:tcPr>
            <w:tcW w:w="616" w:type="dxa"/>
            <w:shd w:val="clear" w:color="auto" w:fill="auto"/>
            <w:vAlign w:val="center"/>
          </w:tcPr>
          <w:p w14:paraId="1E646C3F">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2C00C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633DCFCA">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1F896E99">
            <w:pPr>
              <w:widowControl/>
              <w:adjustRightInd w:val="0"/>
              <w:snapToGrid w:val="0"/>
              <w:spacing w:line="140" w:lineRule="exact"/>
              <w:rPr>
                <w:rFonts w:eastAsia="方正书宋_GBK"/>
                <w:snapToGrid w:val="0"/>
                <w:sz w:val="11"/>
                <w:szCs w:val="11"/>
              </w:rPr>
            </w:pPr>
            <w:r>
              <w:rPr>
                <w:rFonts w:eastAsia="方正书宋_GBK"/>
                <w:snapToGrid w:val="0"/>
                <w:sz w:val="11"/>
                <w:szCs w:val="11"/>
              </w:rPr>
              <w:t>超越《人才中介服务许可证》核准的业务范围经营；提供虚假信息或者作出虚假承诺；介绍从事法律禁止的职业；为非法的招聘单位推荐人才；擅自发布或泄露人才个人信息和资料；委托、挂靠、转让、承包、租赁经营的处罚</w:t>
            </w:r>
          </w:p>
        </w:tc>
        <w:tc>
          <w:tcPr>
            <w:tcW w:w="589" w:type="dxa"/>
            <w:shd w:val="clear" w:color="auto" w:fill="auto"/>
            <w:vAlign w:val="center"/>
          </w:tcPr>
          <w:p w14:paraId="36671920">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53F3A23A">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5F540CDA">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【地方政府规章】《广西壮族自治区人才市场管理办法》（2007年3月19日广西壮族自治区人民政府令第21号发布，自2007年5月1日起施行）第十三条  人才中介服务机构应当依法开展业务活动，不得有下列行为：（一）超越《人才中介服务许可证》核准的业务范围经营；（二）提供虚假信息或者作出虚假承诺；（三）介绍从事法律禁止的职业；（四）为非法的招聘单位推荐人才；（五）擅自发布或者泄露人才个人信息和资料；（六）委托、挂靠、转让、承包、租赁经营；（七）法律、法规禁止的其他行为。</w:t>
            </w:r>
          </w:p>
          <w:p w14:paraId="3D29B35C">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第二十五条  违反本办法第十三条规定的，由县级以上人事行政部门予以警告，可并处1万元以下罚款；有违法所得的，可处以不超过违法所得3倍的罚款，但最高不超过3万元。</w:t>
            </w:r>
          </w:p>
        </w:tc>
        <w:tc>
          <w:tcPr>
            <w:tcW w:w="616" w:type="dxa"/>
            <w:shd w:val="clear" w:color="auto" w:fill="auto"/>
            <w:vAlign w:val="center"/>
          </w:tcPr>
          <w:p w14:paraId="12A7900F">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2628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32" w:hRule="atLeast"/>
          <w:jc w:val="center"/>
        </w:trPr>
        <w:tc>
          <w:tcPr>
            <w:tcW w:w="991" w:type="dxa"/>
            <w:shd w:val="clear" w:color="auto" w:fill="auto"/>
            <w:vAlign w:val="center"/>
          </w:tcPr>
          <w:p w14:paraId="3D04BAB2">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2648EC38">
            <w:pPr>
              <w:widowControl/>
              <w:adjustRightInd w:val="0"/>
              <w:snapToGrid w:val="0"/>
              <w:spacing w:line="140" w:lineRule="exact"/>
              <w:rPr>
                <w:rFonts w:eastAsia="方正书宋_GBK"/>
                <w:snapToGrid w:val="0"/>
                <w:sz w:val="11"/>
                <w:szCs w:val="11"/>
              </w:rPr>
            </w:pPr>
            <w:r>
              <w:rPr>
                <w:rFonts w:eastAsia="方正书宋_GBK"/>
                <w:snapToGrid w:val="0"/>
                <w:sz w:val="11"/>
                <w:szCs w:val="11"/>
              </w:rPr>
              <w:t>违法举办人才交流会的处罚</w:t>
            </w:r>
          </w:p>
        </w:tc>
        <w:tc>
          <w:tcPr>
            <w:tcW w:w="589" w:type="dxa"/>
            <w:shd w:val="clear" w:color="auto" w:fill="auto"/>
            <w:vAlign w:val="center"/>
          </w:tcPr>
          <w:p w14:paraId="69E5AC21">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2B8E2C64">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1E931B3B">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【地方政府规章】《广西壮族自治区人才市场管理办法》（2007年3月19日广西壮族自治区人民政府令第21号发布，自2007年5月1日起施行）第十六条  举办人才交流会应当具备下列条件：（一）交流会的名称、内容与主办者的业务范围相符；（二）由组织方案、安全方案和突发事件应急预案；（三）有与举办规模相适应的场所、工作人员和服务设施；（四）法律、法规规定的其他条件。</w:t>
            </w:r>
          </w:p>
          <w:p w14:paraId="7B16869D">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第二十六条  违反本办法第十六条规定举办人才交流会的，由县级以上人事行政部门责令停办，并处1万元以下罚款。</w:t>
            </w:r>
          </w:p>
        </w:tc>
        <w:tc>
          <w:tcPr>
            <w:tcW w:w="616" w:type="dxa"/>
            <w:shd w:val="clear" w:color="auto" w:fill="auto"/>
            <w:vAlign w:val="center"/>
          </w:tcPr>
          <w:p w14:paraId="5FC3DF46">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CB04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vAlign w:val="center"/>
          </w:tcPr>
          <w:p w14:paraId="0A154127">
            <w:pPr>
              <w:widowControl/>
              <w:adjustRightInd w:val="0"/>
              <w:snapToGrid w:val="0"/>
              <w:spacing w:line="134"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23C5A7F5">
            <w:pPr>
              <w:widowControl/>
              <w:adjustRightInd w:val="0"/>
              <w:snapToGrid w:val="0"/>
              <w:spacing w:line="134" w:lineRule="exact"/>
              <w:rPr>
                <w:rFonts w:eastAsia="方正书宋_GBK"/>
                <w:snapToGrid w:val="0"/>
                <w:sz w:val="11"/>
                <w:szCs w:val="11"/>
              </w:rPr>
            </w:pPr>
            <w:r>
              <w:rPr>
                <w:rFonts w:eastAsia="方正书宋_GBK"/>
                <w:snapToGrid w:val="0"/>
                <w:sz w:val="11"/>
                <w:szCs w:val="11"/>
              </w:rPr>
              <w:t>招聘单位招聘人才，应当如实向人才中介服务机构报送拟聘用人员的数量、岗位、条件和待遇等相关资料，出具相关批准文件、营业执照（副本），并在招聘现场如实公布相关资料的；对国家没有明确规定为不适合妇女工作的岗位，以性别为由拒绝招聘妇女或提高对妇女的招聘条件；向应聘人员收取费用；扣押应聘人员学历证书、资格证书等证件；其他欺诈行为或者谋取非法利益行为的处罚</w:t>
            </w:r>
          </w:p>
        </w:tc>
        <w:tc>
          <w:tcPr>
            <w:tcW w:w="589" w:type="dxa"/>
            <w:shd w:val="clear" w:color="auto" w:fill="auto"/>
            <w:vAlign w:val="center"/>
          </w:tcPr>
          <w:p w14:paraId="3F91AA3C">
            <w:pPr>
              <w:widowControl/>
              <w:adjustRightInd w:val="0"/>
              <w:snapToGrid w:val="0"/>
              <w:spacing w:line="134"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45EC8D70">
            <w:pPr>
              <w:widowControl/>
              <w:adjustRightInd w:val="0"/>
              <w:snapToGrid w:val="0"/>
              <w:spacing w:line="134"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4B8BF255">
            <w:pPr>
              <w:widowControl/>
              <w:adjustRightInd w:val="0"/>
              <w:snapToGrid w:val="0"/>
              <w:spacing w:line="134" w:lineRule="exact"/>
              <w:ind w:firstLine="220" w:firstLineChars="200"/>
              <w:rPr>
                <w:rFonts w:eastAsia="方正书宋_GBK"/>
                <w:snapToGrid w:val="0"/>
                <w:sz w:val="11"/>
                <w:szCs w:val="11"/>
              </w:rPr>
            </w:pPr>
            <w:r>
              <w:rPr>
                <w:rFonts w:eastAsia="方正书宋_GBK"/>
                <w:snapToGrid w:val="0"/>
                <w:sz w:val="11"/>
                <w:szCs w:val="11"/>
              </w:rPr>
              <w:t>【地方政府规章】《广西壮族自治区人才市场管理办法》（2007年3月19日广西壮族自治区人民政府令第21号发布，自2007年5月1日起施行）第二十条  招聘单位招聘人才，应当如实向人才中介服务机构报送拟聘用人员的数量、岗位、条件和待遇等相关资料，出具相关批准文件、营业执照（副本），并在招聘现场如实公布相关资料。</w:t>
            </w:r>
          </w:p>
          <w:p w14:paraId="2D502BF8">
            <w:pPr>
              <w:widowControl/>
              <w:adjustRightInd w:val="0"/>
              <w:snapToGrid w:val="0"/>
              <w:spacing w:line="134" w:lineRule="exact"/>
              <w:ind w:firstLine="220" w:firstLineChars="200"/>
              <w:rPr>
                <w:rFonts w:eastAsia="方正书宋_GBK"/>
                <w:snapToGrid w:val="0"/>
                <w:sz w:val="11"/>
                <w:szCs w:val="11"/>
              </w:rPr>
            </w:pPr>
            <w:r>
              <w:rPr>
                <w:rFonts w:eastAsia="方正书宋_GBK"/>
                <w:snapToGrid w:val="0"/>
                <w:sz w:val="11"/>
                <w:szCs w:val="11"/>
              </w:rPr>
              <w:t>第二十一条  招聘单位招聘人才不得有下列行为：（一）对国家没有明确规定为不适合妇女工作的岗位，以性别为由拒绝招聘妇女或者提高对妇女的招聘条件；（二）向应聘人员收取费用；（三）扣押应聘人员学历证书、资格证书等证件；（四）其他欺诈行为或者谋取非法利益的行为。</w:t>
            </w:r>
          </w:p>
          <w:p w14:paraId="1D7C69FE">
            <w:pPr>
              <w:widowControl/>
              <w:adjustRightInd w:val="0"/>
              <w:snapToGrid w:val="0"/>
              <w:spacing w:line="134" w:lineRule="exact"/>
              <w:ind w:firstLine="220" w:firstLineChars="200"/>
              <w:rPr>
                <w:rFonts w:eastAsia="方正书宋_GBK"/>
                <w:snapToGrid w:val="0"/>
                <w:sz w:val="11"/>
                <w:szCs w:val="11"/>
              </w:rPr>
            </w:pPr>
            <w:r>
              <w:rPr>
                <w:rFonts w:eastAsia="方正书宋_GBK"/>
                <w:snapToGrid w:val="0"/>
                <w:sz w:val="11"/>
                <w:szCs w:val="11"/>
              </w:rPr>
              <w:t>第二十八条  违反本办法第二十条、第二十一条规定的，由县级以上人事行政部门责令改正；情节严重的，处1万元以下罚款。</w:t>
            </w:r>
          </w:p>
        </w:tc>
        <w:tc>
          <w:tcPr>
            <w:tcW w:w="616" w:type="dxa"/>
            <w:shd w:val="clear" w:color="auto" w:fill="auto"/>
            <w:vAlign w:val="center"/>
          </w:tcPr>
          <w:p w14:paraId="4EF4D71A">
            <w:pPr>
              <w:widowControl/>
              <w:adjustRightInd w:val="0"/>
              <w:snapToGrid w:val="0"/>
              <w:spacing w:line="134" w:lineRule="exact"/>
              <w:rPr>
                <w:rFonts w:eastAsia="方正书宋_GBK"/>
                <w:snapToGrid w:val="0"/>
                <w:sz w:val="11"/>
                <w:szCs w:val="11"/>
              </w:rPr>
            </w:pPr>
            <w:r>
              <w:rPr>
                <w:rFonts w:eastAsia="方正书宋_GBK"/>
                <w:snapToGrid w:val="0"/>
                <w:sz w:val="11"/>
                <w:szCs w:val="11"/>
              </w:rPr>
              <w:t>设区市人力资源社会保障部门</w:t>
            </w:r>
          </w:p>
        </w:tc>
      </w:tr>
      <w:tr w14:paraId="18A70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23" w:hRule="atLeast"/>
          <w:jc w:val="center"/>
        </w:trPr>
        <w:tc>
          <w:tcPr>
            <w:tcW w:w="991" w:type="dxa"/>
            <w:vMerge w:val="restart"/>
            <w:shd w:val="clear" w:color="auto" w:fill="auto"/>
            <w:vAlign w:val="center"/>
          </w:tcPr>
          <w:p w14:paraId="1FD4814E">
            <w:pPr>
              <w:widowControl/>
              <w:adjustRightInd w:val="0"/>
              <w:snapToGrid w:val="0"/>
              <w:spacing w:line="134" w:lineRule="exact"/>
              <w:rPr>
                <w:rFonts w:eastAsia="方正书宋_GBK"/>
                <w:snapToGrid w:val="0"/>
                <w:sz w:val="11"/>
                <w:szCs w:val="11"/>
              </w:rPr>
            </w:pPr>
            <w:r>
              <w:rPr>
                <w:rFonts w:eastAsia="方正书宋_GBK"/>
                <w:snapToGrid w:val="0"/>
                <w:sz w:val="11"/>
                <w:szCs w:val="11"/>
              </w:rPr>
              <w:t>行政处罚</w:t>
            </w:r>
          </w:p>
        </w:tc>
        <w:tc>
          <w:tcPr>
            <w:tcW w:w="1554" w:type="dxa"/>
            <w:vMerge w:val="restart"/>
            <w:shd w:val="clear" w:color="auto" w:fill="auto"/>
            <w:vAlign w:val="center"/>
          </w:tcPr>
          <w:p w14:paraId="5A415028">
            <w:pPr>
              <w:widowControl/>
              <w:adjustRightInd w:val="0"/>
              <w:snapToGrid w:val="0"/>
              <w:spacing w:line="134" w:lineRule="exact"/>
              <w:rPr>
                <w:rFonts w:eastAsia="方正书宋_GBK"/>
                <w:snapToGrid w:val="0"/>
                <w:sz w:val="11"/>
                <w:szCs w:val="11"/>
              </w:rPr>
            </w:pPr>
            <w:r>
              <w:rPr>
                <w:rFonts w:eastAsia="方正书宋_GBK"/>
                <w:snapToGrid w:val="0"/>
                <w:sz w:val="11"/>
                <w:szCs w:val="11"/>
              </w:rPr>
              <w:t>社会保险经办机构及医疗机构、药品经营单位等社会保险服务机构以欺诈、伪造证明材料或者其他手段骗取社会保险基金支出的处罚</w:t>
            </w:r>
          </w:p>
        </w:tc>
        <w:tc>
          <w:tcPr>
            <w:tcW w:w="589" w:type="dxa"/>
            <w:shd w:val="clear" w:color="auto" w:fill="auto"/>
            <w:vAlign w:val="center"/>
          </w:tcPr>
          <w:p w14:paraId="066F2BA6">
            <w:pPr>
              <w:widowControl/>
              <w:adjustRightInd w:val="0"/>
              <w:snapToGrid w:val="0"/>
              <w:spacing w:line="134" w:lineRule="exact"/>
              <w:rPr>
                <w:rFonts w:eastAsia="方正书宋_GBK"/>
                <w:snapToGrid w:val="0"/>
                <w:sz w:val="11"/>
                <w:szCs w:val="11"/>
              </w:rPr>
            </w:pPr>
            <w:r>
              <w:rPr>
                <w:rFonts w:eastAsia="方正书宋_GBK"/>
                <w:snapToGrid w:val="0"/>
                <w:sz w:val="11"/>
                <w:szCs w:val="11"/>
              </w:rPr>
              <w:t>骗取工伤保险基金支出的处罚</w:t>
            </w:r>
          </w:p>
        </w:tc>
        <w:tc>
          <w:tcPr>
            <w:tcW w:w="782" w:type="dxa"/>
            <w:shd w:val="clear" w:color="auto" w:fill="auto"/>
            <w:vAlign w:val="center"/>
          </w:tcPr>
          <w:p w14:paraId="2CE41473">
            <w:pPr>
              <w:widowControl/>
              <w:adjustRightInd w:val="0"/>
              <w:snapToGrid w:val="0"/>
              <w:spacing w:line="134" w:lineRule="exact"/>
              <w:rPr>
                <w:rFonts w:eastAsia="方正书宋_GBK"/>
                <w:snapToGrid w:val="0"/>
                <w:sz w:val="11"/>
                <w:szCs w:val="11"/>
              </w:rPr>
            </w:pPr>
            <w:r>
              <w:rPr>
                <w:rFonts w:eastAsia="方正书宋_GBK"/>
                <w:snapToGrid w:val="0"/>
                <w:sz w:val="11"/>
                <w:szCs w:val="11"/>
              </w:rPr>
              <w:t>无</w:t>
            </w:r>
          </w:p>
        </w:tc>
        <w:tc>
          <w:tcPr>
            <w:tcW w:w="3267" w:type="dxa"/>
            <w:vMerge w:val="restart"/>
            <w:shd w:val="clear" w:color="auto" w:fill="auto"/>
            <w:vAlign w:val="center"/>
          </w:tcPr>
          <w:p w14:paraId="101C857A">
            <w:pPr>
              <w:widowControl/>
              <w:adjustRightInd w:val="0"/>
              <w:snapToGrid w:val="0"/>
              <w:spacing w:line="134" w:lineRule="exact"/>
              <w:ind w:firstLine="220" w:firstLineChars="200"/>
              <w:rPr>
                <w:rFonts w:eastAsia="方正书宋_GBK"/>
                <w:snapToGrid w:val="0"/>
                <w:sz w:val="11"/>
                <w:szCs w:val="11"/>
              </w:rPr>
            </w:pPr>
            <w:r>
              <w:rPr>
                <w:rFonts w:eastAsia="方正书宋_GBK"/>
                <w:snapToGrid w:val="0"/>
                <w:sz w:val="11"/>
                <w:szCs w:val="11"/>
              </w:rPr>
              <w:t>1.【法律】《中华人民共和国社会保险法》（2010年10月28日主席令第35号公布，自2011年7月1日起施行）第八十七条  社会保险经办机构以及医疗机构、药品经营单位等社会保险服务机构以欺诈、伪造证明材料或者其他手段骗取社会保险基金支出的，由社会保险行政部门责令退回骗取的社会保险金，处骗取金额二倍以上五倍以下的罚款……</w:t>
            </w:r>
          </w:p>
          <w:p w14:paraId="13E62CA9">
            <w:pPr>
              <w:widowControl/>
              <w:adjustRightInd w:val="0"/>
              <w:snapToGrid w:val="0"/>
              <w:spacing w:line="134" w:lineRule="exact"/>
              <w:ind w:firstLine="220" w:firstLineChars="200"/>
              <w:rPr>
                <w:rFonts w:eastAsia="方正书宋_GBK"/>
                <w:snapToGrid w:val="0"/>
                <w:sz w:val="11"/>
                <w:szCs w:val="11"/>
              </w:rPr>
            </w:pPr>
            <w:r>
              <w:rPr>
                <w:rFonts w:eastAsia="方正书宋_GBK"/>
                <w:snapToGrid w:val="0"/>
                <w:sz w:val="11"/>
                <w:szCs w:val="11"/>
              </w:rPr>
              <w:t>2.【法规】《工伤保险条例》（</w:t>
            </w:r>
            <w:bookmarkStart w:id="0" w:name="_GoBack"/>
            <w:bookmarkEnd w:id="0"/>
            <w:r>
              <w:rPr>
                <w:rFonts w:hint="eastAsia" w:eastAsia="方正书宋_GBK"/>
                <w:snapToGrid w:val="0"/>
                <w:sz w:val="11"/>
                <w:szCs w:val="11"/>
                <w:lang w:eastAsia="zh-CN"/>
              </w:rPr>
              <w:t>中华人民共和国国务院令</w:t>
            </w:r>
            <w:r>
              <w:rPr>
                <w:rFonts w:eastAsia="方正书宋_GBK"/>
                <w:snapToGrid w:val="0"/>
                <w:sz w:val="11"/>
                <w:szCs w:val="11"/>
              </w:rPr>
              <w:t>第586号，2010年12月8日国务院第136次常务会议通过，自2011年1月1日起施行）第六十条  ……医疗机构、辅助器具配备机构骗取工伤保险基金支出的，由社会保险行政部门责令退还，处骗取金额2倍以上5倍以下的罚款……</w:t>
            </w:r>
          </w:p>
          <w:p w14:paraId="4C159197">
            <w:pPr>
              <w:widowControl/>
              <w:adjustRightInd w:val="0"/>
              <w:snapToGrid w:val="0"/>
              <w:spacing w:line="134" w:lineRule="exact"/>
              <w:ind w:firstLine="220" w:firstLineChars="200"/>
              <w:rPr>
                <w:rFonts w:eastAsia="方正书宋_GBK"/>
                <w:snapToGrid w:val="0"/>
                <w:sz w:val="11"/>
                <w:szCs w:val="11"/>
              </w:rPr>
            </w:pPr>
            <w:r>
              <w:rPr>
                <w:rFonts w:eastAsia="方正书宋_GBK"/>
                <w:snapToGrid w:val="0"/>
                <w:sz w:val="11"/>
                <w:szCs w:val="11"/>
              </w:rPr>
              <w:t>3.【法规】《广西壮族自治区失业保险办法》（广西壮族自治区人民政府令第5号，2003年12月31日自治区第十届人民政府第13次常务会议审议通过，2004年3月1日起施行）第三十三条  培训机构、职业介绍机构以虚假、欺骗等手段职业培训补贴和职业介绍补贴的，由营运和社会保障行政部门责令其限期返还违法所得，并可按违法所得的1倍以上3倍以下处以罚款……</w:t>
            </w:r>
          </w:p>
        </w:tc>
        <w:tc>
          <w:tcPr>
            <w:tcW w:w="616" w:type="dxa"/>
            <w:vMerge w:val="restart"/>
            <w:shd w:val="clear" w:color="auto" w:fill="auto"/>
            <w:vAlign w:val="center"/>
          </w:tcPr>
          <w:p w14:paraId="2DEF296A">
            <w:pPr>
              <w:widowControl/>
              <w:adjustRightInd w:val="0"/>
              <w:snapToGrid w:val="0"/>
              <w:spacing w:line="134" w:lineRule="exact"/>
              <w:rPr>
                <w:rFonts w:eastAsia="方正书宋_GBK"/>
                <w:snapToGrid w:val="0"/>
                <w:sz w:val="11"/>
                <w:szCs w:val="11"/>
              </w:rPr>
            </w:pPr>
            <w:r>
              <w:rPr>
                <w:rFonts w:eastAsia="方正书宋_GBK"/>
                <w:snapToGrid w:val="0"/>
                <w:sz w:val="11"/>
                <w:szCs w:val="11"/>
              </w:rPr>
              <w:t>设区市人力资源社会保障部门</w:t>
            </w:r>
          </w:p>
        </w:tc>
      </w:tr>
      <w:tr w14:paraId="62B81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23" w:hRule="atLeast"/>
          <w:jc w:val="center"/>
        </w:trPr>
        <w:tc>
          <w:tcPr>
            <w:tcW w:w="991" w:type="dxa"/>
            <w:vMerge w:val="continue"/>
            <w:vAlign w:val="center"/>
          </w:tcPr>
          <w:p w14:paraId="0723FC52">
            <w:pPr>
              <w:widowControl/>
              <w:adjustRightInd w:val="0"/>
              <w:snapToGrid w:val="0"/>
              <w:spacing w:line="134" w:lineRule="exact"/>
              <w:rPr>
                <w:rFonts w:eastAsia="方正书宋_GBK"/>
                <w:snapToGrid w:val="0"/>
                <w:sz w:val="11"/>
                <w:szCs w:val="11"/>
              </w:rPr>
            </w:pPr>
          </w:p>
        </w:tc>
        <w:tc>
          <w:tcPr>
            <w:tcW w:w="1554" w:type="dxa"/>
            <w:vMerge w:val="continue"/>
            <w:vAlign w:val="center"/>
          </w:tcPr>
          <w:p w14:paraId="5E6D0DF0">
            <w:pPr>
              <w:widowControl/>
              <w:adjustRightInd w:val="0"/>
              <w:snapToGrid w:val="0"/>
              <w:spacing w:line="134" w:lineRule="exact"/>
              <w:rPr>
                <w:rFonts w:eastAsia="方正书宋_GBK"/>
                <w:snapToGrid w:val="0"/>
                <w:sz w:val="11"/>
                <w:szCs w:val="11"/>
              </w:rPr>
            </w:pPr>
          </w:p>
        </w:tc>
        <w:tc>
          <w:tcPr>
            <w:tcW w:w="589" w:type="dxa"/>
            <w:shd w:val="clear" w:color="auto" w:fill="auto"/>
            <w:vAlign w:val="center"/>
          </w:tcPr>
          <w:p w14:paraId="6F4E149D">
            <w:pPr>
              <w:widowControl/>
              <w:adjustRightInd w:val="0"/>
              <w:snapToGrid w:val="0"/>
              <w:spacing w:line="134" w:lineRule="exact"/>
              <w:rPr>
                <w:rFonts w:eastAsia="方正书宋_GBK"/>
                <w:snapToGrid w:val="0"/>
                <w:sz w:val="11"/>
                <w:szCs w:val="11"/>
              </w:rPr>
            </w:pPr>
            <w:r>
              <w:rPr>
                <w:rFonts w:eastAsia="方正书宋_GBK"/>
                <w:snapToGrid w:val="0"/>
                <w:sz w:val="11"/>
                <w:szCs w:val="11"/>
              </w:rPr>
              <w:t>骗取失业保险基金支出的处罚</w:t>
            </w:r>
          </w:p>
        </w:tc>
        <w:tc>
          <w:tcPr>
            <w:tcW w:w="782" w:type="dxa"/>
            <w:shd w:val="clear" w:color="auto" w:fill="auto"/>
            <w:vAlign w:val="center"/>
          </w:tcPr>
          <w:p w14:paraId="357395E2">
            <w:pPr>
              <w:widowControl/>
              <w:adjustRightInd w:val="0"/>
              <w:snapToGrid w:val="0"/>
              <w:spacing w:line="134" w:lineRule="exact"/>
              <w:rPr>
                <w:rFonts w:eastAsia="方正书宋_GBK"/>
                <w:snapToGrid w:val="0"/>
                <w:sz w:val="11"/>
                <w:szCs w:val="11"/>
              </w:rPr>
            </w:pPr>
            <w:r>
              <w:rPr>
                <w:rFonts w:eastAsia="方正书宋_GBK"/>
                <w:snapToGrid w:val="0"/>
                <w:sz w:val="11"/>
                <w:szCs w:val="11"/>
              </w:rPr>
              <w:t>无</w:t>
            </w:r>
          </w:p>
        </w:tc>
        <w:tc>
          <w:tcPr>
            <w:tcW w:w="3267" w:type="dxa"/>
            <w:vMerge w:val="continue"/>
            <w:vAlign w:val="center"/>
          </w:tcPr>
          <w:p w14:paraId="6656C1A1">
            <w:pPr>
              <w:widowControl/>
              <w:adjustRightInd w:val="0"/>
              <w:snapToGrid w:val="0"/>
              <w:spacing w:line="134" w:lineRule="exact"/>
              <w:ind w:firstLine="220" w:firstLineChars="200"/>
              <w:rPr>
                <w:rFonts w:eastAsia="方正书宋_GBK"/>
                <w:snapToGrid w:val="0"/>
                <w:sz w:val="11"/>
                <w:szCs w:val="11"/>
              </w:rPr>
            </w:pPr>
          </w:p>
        </w:tc>
        <w:tc>
          <w:tcPr>
            <w:tcW w:w="616" w:type="dxa"/>
            <w:vMerge w:val="continue"/>
            <w:vAlign w:val="center"/>
          </w:tcPr>
          <w:p w14:paraId="73EF6F2A">
            <w:pPr>
              <w:widowControl/>
              <w:adjustRightInd w:val="0"/>
              <w:snapToGrid w:val="0"/>
              <w:spacing w:line="134" w:lineRule="exact"/>
              <w:rPr>
                <w:rFonts w:eastAsia="方正书宋_GBK"/>
                <w:snapToGrid w:val="0"/>
                <w:sz w:val="11"/>
                <w:szCs w:val="11"/>
              </w:rPr>
            </w:pPr>
          </w:p>
        </w:tc>
      </w:tr>
      <w:tr w14:paraId="1C65A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vAlign w:val="center"/>
          </w:tcPr>
          <w:p w14:paraId="514D6A45">
            <w:pPr>
              <w:widowControl/>
              <w:adjustRightInd w:val="0"/>
              <w:snapToGrid w:val="0"/>
              <w:spacing w:line="134" w:lineRule="exact"/>
              <w:rPr>
                <w:rFonts w:eastAsia="方正书宋_GBK"/>
                <w:snapToGrid w:val="0"/>
                <w:sz w:val="11"/>
                <w:szCs w:val="11"/>
              </w:rPr>
            </w:pPr>
          </w:p>
        </w:tc>
        <w:tc>
          <w:tcPr>
            <w:tcW w:w="1554" w:type="dxa"/>
            <w:vAlign w:val="center"/>
          </w:tcPr>
          <w:p w14:paraId="104C5D3A">
            <w:pPr>
              <w:widowControl/>
              <w:adjustRightInd w:val="0"/>
              <w:snapToGrid w:val="0"/>
              <w:spacing w:line="134" w:lineRule="exact"/>
              <w:rPr>
                <w:rFonts w:eastAsia="方正书宋_GBK"/>
                <w:snapToGrid w:val="0"/>
                <w:sz w:val="11"/>
                <w:szCs w:val="11"/>
              </w:rPr>
            </w:pPr>
          </w:p>
        </w:tc>
        <w:tc>
          <w:tcPr>
            <w:tcW w:w="589" w:type="dxa"/>
            <w:shd w:val="clear" w:color="auto" w:fill="auto"/>
            <w:vAlign w:val="center"/>
          </w:tcPr>
          <w:p w14:paraId="24DC9D81">
            <w:pPr>
              <w:widowControl/>
              <w:adjustRightInd w:val="0"/>
              <w:snapToGrid w:val="0"/>
              <w:spacing w:line="134" w:lineRule="exact"/>
              <w:rPr>
                <w:rFonts w:eastAsia="方正书宋_GBK"/>
                <w:snapToGrid w:val="0"/>
                <w:sz w:val="11"/>
                <w:szCs w:val="11"/>
              </w:rPr>
            </w:pPr>
          </w:p>
        </w:tc>
        <w:tc>
          <w:tcPr>
            <w:tcW w:w="782" w:type="dxa"/>
            <w:shd w:val="clear" w:color="auto" w:fill="auto"/>
            <w:vAlign w:val="center"/>
          </w:tcPr>
          <w:p w14:paraId="2AACD12A">
            <w:pPr>
              <w:widowControl/>
              <w:adjustRightInd w:val="0"/>
              <w:snapToGrid w:val="0"/>
              <w:spacing w:line="134" w:lineRule="exact"/>
              <w:rPr>
                <w:rFonts w:eastAsia="方正书宋_GBK"/>
                <w:snapToGrid w:val="0"/>
                <w:sz w:val="11"/>
                <w:szCs w:val="11"/>
              </w:rPr>
            </w:pPr>
          </w:p>
        </w:tc>
        <w:tc>
          <w:tcPr>
            <w:tcW w:w="3267" w:type="dxa"/>
            <w:vAlign w:val="center"/>
          </w:tcPr>
          <w:p w14:paraId="41C7D514">
            <w:pPr>
              <w:widowControl/>
              <w:adjustRightInd w:val="0"/>
              <w:snapToGrid w:val="0"/>
              <w:spacing w:line="134" w:lineRule="exact"/>
              <w:ind w:firstLine="220" w:firstLineChars="200"/>
              <w:rPr>
                <w:rFonts w:eastAsia="方正书宋_GBK"/>
                <w:snapToGrid w:val="0"/>
                <w:sz w:val="11"/>
                <w:szCs w:val="11"/>
              </w:rPr>
            </w:pPr>
          </w:p>
        </w:tc>
        <w:tc>
          <w:tcPr>
            <w:tcW w:w="616" w:type="dxa"/>
            <w:vAlign w:val="center"/>
          </w:tcPr>
          <w:p w14:paraId="0042389E">
            <w:pPr>
              <w:widowControl/>
              <w:adjustRightInd w:val="0"/>
              <w:snapToGrid w:val="0"/>
              <w:spacing w:line="134" w:lineRule="exact"/>
              <w:rPr>
                <w:rFonts w:eastAsia="方正书宋_GBK"/>
                <w:snapToGrid w:val="0"/>
                <w:sz w:val="11"/>
                <w:szCs w:val="11"/>
              </w:rPr>
            </w:pPr>
          </w:p>
        </w:tc>
      </w:tr>
      <w:tr w14:paraId="3C47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355" w:hRule="atLeast"/>
          <w:jc w:val="center"/>
        </w:trPr>
        <w:tc>
          <w:tcPr>
            <w:tcW w:w="991" w:type="dxa"/>
            <w:vMerge w:val="restart"/>
            <w:shd w:val="clear" w:color="auto" w:fill="auto"/>
            <w:vAlign w:val="center"/>
          </w:tcPr>
          <w:p w14:paraId="1206AACA">
            <w:pPr>
              <w:widowControl/>
              <w:adjustRightInd w:val="0"/>
              <w:snapToGrid w:val="0"/>
              <w:spacing w:line="134" w:lineRule="exact"/>
              <w:rPr>
                <w:rFonts w:eastAsia="方正书宋_GBK"/>
                <w:snapToGrid w:val="0"/>
                <w:sz w:val="11"/>
                <w:szCs w:val="11"/>
              </w:rPr>
            </w:pPr>
            <w:r>
              <w:rPr>
                <w:rFonts w:eastAsia="方正书宋_GBK"/>
                <w:snapToGrid w:val="0"/>
                <w:sz w:val="11"/>
                <w:szCs w:val="11"/>
              </w:rPr>
              <w:t>行政处罚</w:t>
            </w:r>
          </w:p>
        </w:tc>
        <w:tc>
          <w:tcPr>
            <w:tcW w:w="1554" w:type="dxa"/>
            <w:vMerge w:val="restart"/>
            <w:shd w:val="clear" w:color="auto" w:fill="auto"/>
            <w:vAlign w:val="center"/>
          </w:tcPr>
          <w:p w14:paraId="702ACA34">
            <w:pPr>
              <w:widowControl/>
              <w:adjustRightInd w:val="0"/>
              <w:snapToGrid w:val="0"/>
              <w:spacing w:line="134" w:lineRule="exact"/>
              <w:rPr>
                <w:rFonts w:eastAsia="方正书宋_GBK"/>
                <w:snapToGrid w:val="0"/>
                <w:sz w:val="11"/>
                <w:szCs w:val="11"/>
              </w:rPr>
            </w:pPr>
            <w:r>
              <w:rPr>
                <w:rFonts w:eastAsia="方正书宋_GBK"/>
                <w:snapToGrid w:val="0"/>
                <w:sz w:val="11"/>
                <w:szCs w:val="11"/>
              </w:rPr>
              <w:t>以欺诈、伪造证明材料或者其他手段骗取社会保险待遇的处罚</w:t>
            </w:r>
          </w:p>
        </w:tc>
        <w:tc>
          <w:tcPr>
            <w:tcW w:w="589" w:type="dxa"/>
            <w:shd w:val="clear" w:color="auto" w:fill="auto"/>
            <w:vAlign w:val="center"/>
          </w:tcPr>
          <w:p w14:paraId="72DF1728">
            <w:pPr>
              <w:widowControl/>
              <w:adjustRightInd w:val="0"/>
              <w:snapToGrid w:val="0"/>
              <w:spacing w:line="134" w:lineRule="exact"/>
              <w:rPr>
                <w:rFonts w:eastAsia="方正书宋_GBK"/>
                <w:snapToGrid w:val="0"/>
                <w:sz w:val="11"/>
                <w:szCs w:val="11"/>
              </w:rPr>
            </w:pPr>
            <w:r>
              <w:rPr>
                <w:rFonts w:eastAsia="方正书宋_GBK"/>
                <w:snapToGrid w:val="0"/>
                <w:sz w:val="11"/>
                <w:szCs w:val="11"/>
              </w:rPr>
              <w:t>骗取养老保险待遇</w:t>
            </w:r>
          </w:p>
        </w:tc>
        <w:tc>
          <w:tcPr>
            <w:tcW w:w="782" w:type="dxa"/>
            <w:shd w:val="clear" w:color="auto" w:fill="auto"/>
            <w:vAlign w:val="center"/>
          </w:tcPr>
          <w:p w14:paraId="66935A06">
            <w:pPr>
              <w:widowControl/>
              <w:adjustRightInd w:val="0"/>
              <w:snapToGrid w:val="0"/>
              <w:spacing w:line="134" w:lineRule="exact"/>
              <w:rPr>
                <w:rFonts w:eastAsia="方正书宋_GBK"/>
                <w:snapToGrid w:val="0"/>
                <w:sz w:val="11"/>
                <w:szCs w:val="11"/>
              </w:rPr>
            </w:pPr>
            <w:r>
              <w:rPr>
                <w:rFonts w:eastAsia="方正书宋_GBK"/>
                <w:snapToGrid w:val="0"/>
                <w:sz w:val="11"/>
                <w:szCs w:val="11"/>
              </w:rPr>
              <w:t>无</w:t>
            </w:r>
          </w:p>
        </w:tc>
        <w:tc>
          <w:tcPr>
            <w:tcW w:w="3267" w:type="dxa"/>
            <w:vMerge w:val="restart"/>
            <w:shd w:val="clear" w:color="auto" w:fill="auto"/>
            <w:vAlign w:val="center"/>
          </w:tcPr>
          <w:p w14:paraId="48A06520">
            <w:pPr>
              <w:widowControl/>
              <w:adjustRightInd w:val="0"/>
              <w:snapToGrid w:val="0"/>
              <w:spacing w:line="134" w:lineRule="exact"/>
              <w:ind w:firstLine="220" w:firstLineChars="200"/>
              <w:rPr>
                <w:rFonts w:eastAsia="方正书宋_GBK"/>
                <w:snapToGrid w:val="0"/>
                <w:sz w:val="11"/>
                <w:szCs w:val="11"/>
              </w:rPr>
            </w:pPr>
            <w:r>
              <w:rPr>
                <w:rFonts w:eastAsia="方正书宋_GBK"/>
                <w:snapToGrid w:val="0"/>
                <w:sz w:val="11"/>
                <w:szCs w:val="11"/>
              </w:rPr>
              <w:t>1.【法律】《中华人民共和国社会保险法》（2010年10月28日主席令第35号公布，自2011年7月1日起行）第八十八条   以欺诈、伪造证明材料或者其他手段骗取社会保险待遇的，由社会保险行政部门责令退回骗取的社会保险金，处骗取金额二倍以上五倍以下的罚款。</w:t>
            </w:r>
          </w:p>
          <w:p w14:paraId="15FFC9F1">
            <w:pPr>
              <w:widowControl/>
              <w:adjustRightInd w:val="0"/>
              <w:snapToGrid w:val="0"/>
              <w:spacing w:line="134" w:lineRule="exact"/>
              <w:ind w:firstLine="220" w:firstLineChars="200"/>
              <w:rPr>
                <w:rFonts w:eastAsia="方正书宋_GBK"/>
                <w:snapToGrid w:val="0"/>
                <w:sz w:val="11"/>
                <w:szCs w:val="11"/>
              </w:rPr>
            </w:pPr>
            <w:r>
              <w:rPr>
                <w:rFonts w:eastAsia="方正书宋_GBK"/>
                <w:snapToGrid w:val="0"/>
                <w:sz w:val="11"/>
                <w:szCs w:val="11"/>
              </w:rPr>
              <w:t>2.【法规】《工伤保险条例》（</w:t>
            </w:r>
            <w:r>
              <w:rPr>
                <w:rFonts w:hint="eastAsia" w:eastAsia="方正书宋_GBK"/>
                <w:snapToGrid w:val="0"/>
                <w:sz w:val="11"/>
                <w:szCs w:val="11"/>
                <w:lang w:eastAsia="zh-CN"/>
              </w:rPr>
              <w:t>中华人民共和国国务院令</w:t>
            </w:r>
            <w:r>
              <w:rPr>
                <w:rFonts w:eastAsia="方正书宋_GBK"/>
                <w:snapToGrid w:val="0"/>
                <w:sz w:val="11"/>
                <w:szCs w:val="11"/>
              </w:rPr>
              <w:t>第586号，2010年12月8日国务院第136次常务会议通过，自2011年1月1日起施行）第六十条  用人单位、工伤职工或者其近亲属骗取工伤保险待遇的……由社会保险行政部门责令退还，处骗取金额2倍以上5倍以下的罚款……</w:t>
            </w:r>
          </w:p>
          <w:p w14:paraId="0A68ED65">
            <w:pPr>
              <w:widowControl/>
              <w:adjustRightInd w:val="0"/>
              <w:snapToGrid w:val="0"/>
              <w:spacing w:line="134" w:lineRule="exact"/>
              <w:ind w:firstLine="220" w:firstLineChars="200"/>
              <w:rPr>
                <w:rFonts w:eastAsia="方正书宋_GBK"/>
                <w:snapToGrid w:val="0"/>
                <w:sz w:val="11"/>
                <w:szCs w:val="11"/>
              </w:rPr>
            </w:pPr>
            <w:r>
              <w:rPr>
                <w:rFonts w:eastAsia="方正书宋_GBK"/>
                <w:snapToGrid w:val="0"/>
                <w:sz w:val="11"/>
                <w:szCs w:val="11"/>
              </w:rPr>
              <w:t>3.【法规】《失业保险条例》（中华人民共和国国务院令第258号，1999年1月22日起施行）第二十八条  不符合享受失业保险待遇条件，骗取失业保险金和其他失业保险待遇的，由社会保险经办机构责令退还；情节严重的，由劳动保障行政部门处骗取金额1倍以上3倍以下的罚款。</w:t>
            </w:r>
          </w:p>
        </w:tc>
        <w:tc>
          <w:tcPr>
            <w:tcW w:w="616" w:type="dxa"/>
            <w:vMerge w:val="restart"/>
            <w:shd w:val="clear" w:color="auto" w:fill="auto"/>
            <w:vAlign w:val="center"/>
          </w:tcPr>
          <w:p w14:paraId="19CFA195">
            <w:pPr>
              <w:widowControl/>
              <w:adjustRightInd w:val="0"/>
              <w:snapToGrid w:val="0"/>
              <w:spacing w:line="134" w:lineRule="exact"/>
              <w:rPr>
                <w:rFonts w:eastAsia="方正书宋_GBK"/>
                <w:snapToGrid w:val="0"/>
                <w:sz w:val="11"/>
                <w:szCs w:val="11"/>
              </w:rPr>
            </w:pPr>
            <w:r>
              <w:rPr>
                <w:rFonts w:eastAsia="方正书宋_GBK"/>
                <w:snapToGrid w:val="0"/>
                <w:sz w:val="11"/>
                <w:szCs w:val="11"/>
              </w:rPr>
              <w:t>人力资源社会保障部门</w:t>
            </w:r>
          </w:p>
        </w:tc>
      </w:tr>
      <w:tr w14:paraId="6F03F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355" w:hRule="atLeast"/>
          <w:jc w:val="center"/>
        </w:trPr>
        <w:tc>
          <w:tcPr>
            <w:tcW w:w="991" w:type="dxa"/>
            <w:vMerge w:val="continue"/>
            <w:vAlign w:val="center"/>
          </w:tcPr>
          <w:p w14:paraId="223920D9">
            <w:pPr>
              <w:widowControl/>
              <w:adjustRightInd w:val="0"/>
              <w:snapToGrid w:val="0"/>
              <w:spacing w:line="134" w:lineRule="exact"/>
              <w:rPr>
                <w:rFonts w:eastAsia="方正书宋_GBK"/>
                <w:snapToGrid w:val="0"/>
                <w:sz w:val="11"/>
                <w:szCs w:val="11"/>
              </w:rPr>
            </w:pPr>
          </w:p>
        </w:tc>
        <w:tc>
          <w:tcPr>
            <w:tcW w:w="1554" w:type="dxa"/>
            <w:vMerge w:val="continue"/>
            <w:vAlign w:val="center"/>
          </w:tcPr>
          <w:p w14:paraId="24ED3848">
            <w:pPr>
              <w:widowControl/>
              <w:adjustRightInd w:val="0"/>
              <w:snapToGrid w:val="0"/>
              <w:spacing w:line="134" w:lineRule="exact"/>
              <w:rPr>
                <w:rFonts w:eastAsia="方正书宋_GBK"/>
                <w:snapToGrid w:val="0"/>
                <w:sz w:val="11"/>
                <w:szCs w:val="11"/>
              </w:rPr>
            </w:pPr>
          </w:p>
        </w:tc>
        <w:tc>
          <w:tcPr>
            <w:tcW w:w="589" w:type="dxa"/>
            <w:shd w:val="clear" w:color="auto" w:fill="auto"/>
            <w:vAlign w:val="center"/>
          </w:tcPr>
          <w:p w14:paraId="21C88A17">
            <w:pPr>
              <w:widowControl/>
              <w:adjustRightInd w:val="0"/>
              <w:snapToGrid w:val="0"/>
              <w:spacing w:line="134" w:lineRule="exact"/>
              <w:rPr>
                <w:rFonts w:eastAsia="方正书宋_GBK"/>
                <w:snapToGrid w:val="0"/>
                <w:sz w:val="11"/>
                <w:szCs w:val="11"/>
              </w:rPr>
            </w:pPr>
            <w:r>
              <w:rPr>
                <w:rFonts w:eastAsia="方正书宋_GBK"/>
                <w:snapToGrid w:val="0"/>
                <w:sz w:val="11"/>
                <w:szCs w:val="11"/>
              </w:rPr>
              <w:t>骗取工伤保险待遇</w:t>
            </w:r>
          </w:p>
        </w:tc>
        <w:tc>
          <w:tcPr>
            <w:tcW w:w="782" w:type="dxa"/>
            <w:shd w:val="clear" w:color="auto" w:fill="auto"/>
            <w:vAlign w:val="center"/>
          </w:tcPr>
          <w:p w14:paraId="46343131">
            <w:pPr>
              <w:widowControl/>
              <w:adjustRightInd w:val="0"/>
              <w:snapToGrid w:val="0"/>
              <w:spacing w:line="134" w:lineRule="exact"/>
              <w:rPr>
                <w:rFonts w:eastAsia="方正书宋_GBK"/>
                <w:snapToGrid w:val="0"/>
                <w:sz w:val="11"/>
                <w:szCs w:val="11"/>
              </w:rPr>
            </w:pPr>
            <w:r>
              <w:rPr>
                <w:rFonts w:eastAsia="方正书宋_GBK"/>
                <w:snapToGrid w:val="0"/>
                <w:sz w:val="11"/>
                <w:szCs w:val="11"/>
              </w:rPr>
              <w:t>无</w:t>
            </w:r>
          </w:p>
        </w:tc>
        <w:tc>
          <w:tcPr>
            <w:tcW w:w="3267" w:type="dxa"/>
            <w:vMerge w:val="continue"/>
            <w:vAlign w:val="center"/>
          </w:tcPr>
          <w:p w14:paraId="4B52519C">
            <w:pPr>
              <w:widowControl/>
              <w:adjustRightInd w:val="0"/>
              <w:snapToGrid w:val="0"/>
              <w:spacing w:line="134" w:lineRule="exact"/>
              <w:ind w:firstLine="220" w:firstLineChars="200"/>
              <w:rPr>
                <w:rFonts w:eastAsia="方正书宋_GBK"/>
                <w:snapToGrid w:val="0"/>
                <w:sz w:val="11"/>
                <w:szCs w:val="11"/>
              </w:rPr>
            </w:pPr>
          </w:p>
        </w:tc>
        <w:tc>
          <w:tcPr>
            <w:tcW w:w="616" w:type="dxa"/>
            <w:vMerge w:val="continue"/>
            <w:vAlign w:val="center"/>
          </w:tcPr>
          <w:p w14:paraId="0F09FFF1">
            <w:pPr>
              <w:widowControl/>
              <w:adjustRightInd w:val="0"/>
              <w:snapToGrid w:val="0"/>
              <w:spacing w:line="134" w:lineRule="exact"/>
              <w:rPr>
                <w:rFonts w:eastAsia="方正书宋_GBK"/>
                <w:snapToGrid w:val="0"/>
                <w:sz w:val="11"/>
                <w:szCs w:val="11"/>
              </w:rPr>
            </w:pPr>
          </w:p>
        </w:tc>
      </w:tr>
      <w:tr w14:paraId="4C89F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356" w:hRule="atLeast"/>
          <w:jc w:val="center"/>
        </w:trPr>
        <w:tc>
          <w:tcPr>
            <w:tcW w:w="991" w:type="dxa"/>
            <w:vMerge w:val="continue"/>
            <w:vAlign w:val="center"/>
          </w:tcPr>
          <w:p w14:paraId="51994864">
            <w:pPr>
              <w:widowControl/>
              <w:adjustRightInd w:val="0"/>
              <w:snapToGrid w:val="0"/>
              <w:spacing w:line="134" w:lineRule="exact"/>
              <w:rPr>
                <w:rFonts w:eastAsia="方正书宋_GBK"/>
                <w:snapToGrid w:val="0"/>
                <w:sz w:val="11"/>
                <w:szCs w:val="11"/>
              </w:rPr>
            </w:pPr>
          </w:p>
        </w:tc>
        <w:tc>
          <w:tcPr>
            <w:tcW w:w="1554" w:type="dxa"/>
            <w:vMerge w:val="continue"/>
            <w:vAlign w:val="center"/>
          </w:tcPr>
          <w:p w14:paraId="22F01CAB">
            <w:pPr>
              <w:widowControl/>
              <w:adjustRightInd w:val="0"/>
              <w:snapToGrid w:val="0"/>
              <w:spacing w:line="134" w:lineRule="exact"/>
              <w:rPr>
                <w:rFonts w:eastAsia="方正书宋_GBK"/>
                <w:snapToGrid w:val="0"/>
                <w:sz w:val="11"/>
                <w:szCs w:val="11"/>
              </w:rPr>
            </w:pPr>
          </w:p>
        </w:tc>
        <w:tc>
          <w:tcPr>
            <w:tcW w:w="589" w:type="dxa"/>
            <w:shd w:val="clear" w:color="auto" w:fill="auto"/>
            <w:vAlign w:val="center"/>
          </w:tcPr>
          <w:p w14:paraId="12664741">
            <w:pPr>
              <w:widowControl/>
              <w:adjustRightInd w:val="0"/>
              <w:snapToGrid w:val="0"/>
              <w:spacing w:line="134" w:lineRule="exact"/>
              <w:rPr>
                <w:rFonts w:eastAsia="方正书宋_GBK"/>
                <w:snapToGrid w:val="0"/>
                <w:sz w:val="11"/>
                <w:szCs w:val="11"/>
              </w:rPr>
            </w:pPr>
            <w:r>
              <w:rPr>
                <w:rFonts w:eastAsia="方正书宋_GBK"/>
                <w:snapToGrid w:val="0"/>
                <w:sz w:val="11"/>
                <w:szCs w:val="11"/>
              </w:rPr>
              <w:t>骗取失业保险待遇</w:t>
            </w:r>
          </w:p>
        </w:tc>
        <w:tc>
          <w:tcPr>
            <w:tcW w:w="782" w:type="dxa"/>
            <w:shd w:val="clear" w:color="auto" w:fill="auto"/>
            <w:vAlign w:val="center"/>
          </w:tcPr>
          <w:p w14:paraId="481C3C71">
            <w:pPr>
              <w:widowControl/>
              <w:adjustRightInd w:val="0"/>
              <w:snapToGrid w:val="0"/>
              <w:spacing w:line="134" w:lineRule="exact"/>
              <w:rPr>
                <w:rFonts w:eastAsia="方正书宋_GBK"/>
                <w:snapToGrid w:val="0"/>
                <w:sz w:val="11"/>
                <w:szCs w:val="11"/>
              </w:rPr>
            </w:pPr>
            <w:r>
              <w:rPr>
                <w:rFonts w:eastAsia="方正书宋_GBK"/>
                <w:snapToGrid w:val="0"/>
                <w:sz w:val="11"/>
                <w:szCs w:val="11"/>
              </w:rPr>
              <w:t>无</w:t>
            </w:r>
          </w:p>
        </w:tc>
        <w:tc>
          <w:tcPr>
            <w:tcW w:w="3267" w:type="dxa"/>
            <w:vMerge w:val="continue"/>
            <w:vAlign w:val="center"/>
          </w:tcPr>
          <w:p w14:paraId="69DD8506">
            <w:pPr>
              <w:widowControl/>
              <w:adjustRightInd w:val="0"/>
              <w:snapToGrid w:val="0"/>
              <w:spacing w:line="134" w:lineRule="exact"/>
              <w:ind w:firstLine="220" w:firstLineChars="200"/>
              <w:rPr>
                <w:rFonts w:eastAsia="方正书宋_GBK"/>
                <w:snapToGrid w:val="0"/>
                <w:sz w:val="11"/>
                <w:szCs w:val="11"/>
              </w:rPr>
            </w:pPr>
          </w:p>
        </w:tc>
        <w:tc>
          <w:tcPr>
            <w:tcW w:w="616" w:type="dxa"/>
            <w:vMerge w:val="continue"/>
            <w:vAlign w:val="center"/>
          </w:tcPr>
          <w:p w14:paraId="4F662744">
            <w:pPr>
              <w:widowControl/>
              <w:adjustRightInd w:val="0"/>
              <w:snapToGrid w:val="0"/>
              <w:spacing w:line="134" w:lineRule="exact"/>
              <w:rPr>
                <w:rFonts w:eastAsia="方正书宋_GBK"/>
                <w:snapToGrid w:val="0"/>
                <w:sz w:val="11"/>
                <w:szCs w:val="11"/>
              </w:rPr>
            </w:pPr>
          </w:p>
        </w:tc>
      </w:tr>
      <w:tr w14:paraId="3563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vAlign w:val="center"/>
          </w:tcPr>
          <w:p w14:paraId="4F10038A">
            <w:pPr>
              <w:widowControl/>
              <w:adjustRightInd w:val="0"/>
              <w:snapToGrid w:val="0"/>
              <w:spacing w:line="134" w:lineRule="exact"/>
              <w:rPr>
                <w:rFonts w:eastAsia="方正书宋_GBK"/>
                <w:snapToGrid w:val="0"/>
                <w:sz w:val="11"/>
                <w:szCs w:val="11"/>
              </w:rPr>
            </w:pPr>
          </w:p>
        </w:tc>
        <w:tc>
          <w:tcPr>
            <w:tcW w:w="1554" w:type="dxa"/>
            <w:vAlign w:val="center"/>
          </w:tcPr>
          <w:p w14:paraId="4FFCF824">
            <w:pPr>
              <w:widowControl/>
              <w:adjustRightInd w:val="0"/>
              <w:snapToGrid w:val="0"/>
              <w:spacing w:line="134" w:lineRule="exact"/>
              <w:rPr>
                <w:rFonts w:eastAsia="方正书宋_GBK"/>
                <w:snapToGrid w:val="0"/>
                <w:sz w:val="11"/>
                <w:szCs w:val="11"/>
              </w:rPr>
            </w:pPr>
          </w:p>
        </w:tc>
        <w:tc>
          <w:tcPr>
            <w:tcW w:w="589" w:type="dxa"/>
            <w:shd w:val="clear" w:color="auto" w:fill="auto"/>
            <w:vAlign w:val="center"/>
          </w:tcPr>
          <w:p w14:paraId="5BAD75E5">
            <w:pPr>
              <w:widowControl/>
              <w:adjustRightInd w:val="0"/>
              <w:snapToGrid w:val="0"/>
              <w:spacing w:line="134" w:lineRule="exact"/>
              <w:rPr>
                <w:rFonts w:eastAsia="方正书宋_GBK"/>
                <w:snapToGrid w:val="0"/>
                <w:sz w:val="11"/>
                <w:szCs w:val="11"/>
              </w:rPr>
            </w:pPr>
          </w:p>
        </w:tc>
        <w:tc>
          <w:tcPr>
            <w:tcW w:w="782" w:type="dxa"/>
            <w:shd w:val="clear" w:color="auto" w:fill="auto"/>
            <w:vAlign w:val="center"/>
          </w:tcPr>
          <w:p w14:paraId="4BBE04E8">
            <w:pPr>
              <w:widowControl/>
              <w:adjustRightInd w:val="0"/>
              <w:snapToGrid w:val="0"/>
              <w:spacing w:line="134" w:lineRule="exact"/>
              <w:rPr>
                <w:rFonts w:eastAsia="方正书宋_GBK"/>
                <w:snapToGrid w:val="0"/>
                <w:sz w:val="11"/>
                <w:szCs w:val="11"/>
              </w:rPr>
            </w:pPr>
          </w:p>
        </w:tc>
        <w:tc>
          <w:tcPr>
            <w:tcW w:w="3267" w:type="dxa"/>
            <w:vAlign w:val="center"/>
          </w:tcPr>
          <w:p w14:paraId="6CBDA064">
            <w:pPr>
              <w:widowControl/>
              <w:adjustRightInd w:val="0"/>
              <w:snapToGrid w:val="0"/>
              <w:spacing w:line="134" w:lineRule="exact"/>
              <w:ind w:firstLine="220" w:firstLineChars="200"/>
              <w:rPr>
                <w:rFonts w:eastAsia="方正书宋_GBK"/>
                <w:snapToGrid w:val="0"/>
                <w:sz w:val="11"/>
                <w:szCs w:val="11"/>
              </w:rPr>
            </w:pPr>
          </w:p>
        </w:tc>
        <w:tc>
          <w:tcPr>
            <w:tcW w:w="616" w:type="dxa"/>
            <w:vAlign w:val="center"/>
          </w:tcPr>
          <w:p w14:paraId="04FABEE0">
            <w:pPr>
              <w:widowControl/>
              <w:adjustRightInd w:val="0"/>
              <w:snapToGrid w:val="0"/>
              <w:spacing w:line="134" w:lineRule="exact"/>
              <w:rPr>
                <w:rFonts w:eastAsia="方正书宋_GBK"/>
                <w:snapToGrid w:val="0"/>
                <w:sz w:val="11"/>
                <w:szCs w:val="11"/>
              </w:rPr>
            </w:pPr>
          </w:p>
        </w:tc>
      </w:tr>
      <w:tr w14:paraId="20011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vAlign w:val="center"/>
          </w:tcPr>
          <w:p w14:paraId="11EC7A5A">
            <w:pPr>
              <w:widowControl/>
              <w:adjustRightInd w:val="0"/>
              <w:snapToGrid w:val="0"/>
              <w:spacing w:line="134"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504909F4">
            <w:pPr>
              <w:widowControl/>
              <w:adjustRightInd w:val="0"/>
              <w:snapToGrid w:val="0"/>
              <w:spacing w:line="134" w:lineRule="exact"/>
              <w:rPr>
                <w:rFonts w:eastAsia="方正书宋_GBK"/>
                <w:snapToGrid w:val="0"/>
                <w:sz w:val="11"/>
                <w:szCs w:val="11"/>
              </w:rPr>
            </w:pPr>
            <w:r>
              <w:rPr>
                <w:rFonts w:eastAsia="方正书宋_GBK"/>
                <w:snapToGrid w:val="0"/>
                <w:sz w:val="11"/>
                <w:szCs w:val="11"/>
              </w:rPr>
              <w:t>隐匿、转移、侵占、挪用社会保险基金或者违规投资运营的处罚</w:t>
            </w:r>
          </w:p>
        </w:tc>
        <w:tc>
          <w:tcPr>
            <w:tcW w:w="589" w:type="dxa"/>
            <w:shd w:val="clear" w:color="auto" w:fill="auto"/>
            <w:vAlign w:val="center"/>
          </w:tcPr>
          <w:p w14:paraId="6FE885D0">
            <w:pPr>
              <w:widowControl/>
              <w:adjustRightInd w:val="0"/>
              <w:snapToGrid w:val="0"/>
              <w:spacing w:line="134"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5F341E2A">
            <w:pPr>
              <w:widowControl/>
              <w:adjustRightInd w:val="0"/>
              <w:snapToGrid w:val="0"/>
              <w:spacing w:line="134"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250F3A75">
            <w:pPr>
              <w:widowControl/>
              <w:adjustRightInd w:val="0"/>
              <w:snapToGrid w:val="0"/>
              <w:spacing w:line="134"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【法律】《中华人民共和国社会保险法》（2010年10月28日中华人民共和国主席令第35号公布，自2011年7月1日起施行）第九十一条   违反本法规定，隐匿、转移、侵占、挪用社会保险基金或者违规投资运营的，由社会保险行政部门、财政部门、审计机关责令追回；有违法所得的，没收违法所得……。</w:t>
            </w:r>
          </w:p>
        </w:tc>
        <w:tc>
          <w:tcPr>
            <w:tcW w:w="616" w:type="dxa"/>
            <w:shd w:val="clear" w:color="auto" w:fill="auto"/>
            <w:vAlign w:val="center"/>
          </w:tcPr>
          <w:p w14:paraId="3F67782C">
            <w:pPr>
              <w:widowControl/>
              <w:adjustRightInd w:val="0"/>
              <w:snapToGrid w:val="0"/>
              <w:spacing w:line="134" w:lineRule="exact"/>
              <w:rPr>
                <w:rFonts w:eastAsia="方正书宋_GBK"/>
                <w:snapToGrid w:val="0"/>
                <w:sz w:val="11"/>
                <w:szCs w:val="11"/>
              </w:rPr>
            </w:pPr>
            <w:r>
              <w:rPr>
                <w:rFonts w:eastAsia="方正书宋_GBK"/>
                <w:snapToGrid w:val="0"/>
                <w:sz w:val="11"/>
                <w:szCs w:val="11"/>
              </w:rPr>
              <w:t>设区市人力资源社会保障部门</w:t>
            </w:r>
          </w:p>
        </w:tc>
      </w:tr>
      <w:tr w14:paraId="04D84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249" w:hRule="atLeast"/>
          <w:jc w:val="center"/>
        </w:trPr>
        <w:tc>
          <w:tcPr>
            <w:tcW w:w="991" w:type="dxa"/>
            <w:shd w:val="clear" w:color="auto" w:fill="auto"/>
            <w:vAlign w:val="center"/>
          </w:tcPr>
          <w:p w14:paraId="4CC9DACE">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行政处罚</w:t>
            </w:r>
          </w:p>
        </w:tc>
        <w:tc>
          <w:tcPr>
            <w:tcW w:w="1554" w:type="dxa"/>
            <w:shd w:val="clear" w:color="auto" w:fill="auto"/>
            <w:vAlign w:val="center"/>
          </w:tcPr>
          <w:p w14:paraId="610BBD9F">
            <w:pPr>
              <w:widowControl/>
              <w:adjustRightInd w:val="0"/>
              <w:snapToGrid w:val="0"/>
              <w:spacing w:line="140" w:lineRule="exact"/>
              <w:rPr>
                <w:rFonts w:eastAsia="方正书宋_GBK"/>
                <w:snapToGrid w:val="0"/>
                <w:sz w:val="11"/>
                <w:szCs w:val="11"/>
              </w:rPr>
            </w:pPr>
            <w:r>
              <w:rPr>
                <w:rFonts w:eastAsia="方正书宋_GBK"/>
                <w:snapToGrid w:val="0"/>
                <w:sz w:val="11"/>
                <w:szCs w:val="11"/>
              </w:rPr>
              <w:t>经社会保险经办机构责令，未在限期内缴纳或补足社会保险费的处罚</w:t>
            </w:r>
          </w:p>
        </w:tc>
        <w:tc>
          <w:tcPr>
            <w:tcW w:w="589" w:type="dxa"/>
            <w:shd w:val="clear" w:color="auto" w:fill="auto"/>
            <w:vAlign w:val="center"/>
          </w:tcPr>
          <w:p w14:paraId="7FD7152B">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1BB2812A">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4C6790A2">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【部门规章】《社会保险费申报缴纳管理规定》（2013年9月26日人力资源和社会保障部令第20号公布，自2013年11月1日起施行）第三十条  用人单位未按照规定向社会保险经办机构进行缴费申报或者未按照规定缴纳社会保险费的，社会保险行政部门应当依法查处。用人单位未按时足额缴纳社会保险费的，由社会保险经办机构按照社会保险法第八十六条的规定，责令其限期缴纳或者补足，并自欠缴之日起按日加收0.5‰的滞纳金；逾期仍不缴纳的，由社会保险行政部门处欠缴数额1倍以上3倍以下的罚款。</w:t>
            </w:r>
          </w:p>
        </w:tc>
        <w:tc>
          <w:tcPr>
            <w:tcW w:w="616" w:type="dxa"/>
            <w:shd w:val="clear" w:color="auto" w:fill="auto"/>
            <w:vAlign w:val="center"/>
          </w:tcPr>
          <w:p w14:paraId="1C877C53">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5F96B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686" w:hRule="atLeast"/>
          <w:jc w:val="center"/>
        </w:trPr>
        <w:tc>
          <w:tcPr>
            <w:tcW w:w="991" w:type="dxa"/>
            <w:shd w:val="clear" w:color="auto" w:fill="auto"/>
            <w:vAlign w:val="center"/>
          </w:tcPr>
          <w:p w14:paraId="1D2825DE">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行政强制</w:t>
            </w:r>
          </w:p>
        </w:tc>
        <w:tc>
          <w:tcPr>
            <w:tcW w:w="1554" w:type="dxa"/>
            <w:shd w:val="clear" w:color="auto" w:fill="auto"/>
            <w:vAlign w:val="center"/>
          </w:tcPr>
          <w:p w14:paraId="10D15931">
            <w:pPr>
              <w:widowControl/>
              <w:adjustRightInd w:val="0"/>
              <w:snapToGrid w:val="0"/>
              <w:spacing w:line="140" w:lineRule="exact"/>
              <w:rPr>
                <w:rFonts w:eastAsia="方正书宋_GBK"/>
                <w:snapToGrid w:val="0"/>
                <w:sz w:val="11"/>
                <w:szCs w:val="11"/>
              </w:rPr>
            </w:pPr>
            <w:r>
              <w:rPr>
                <w:rFonts w:eastAsia="方正书宋_GBK"/>
                <w:snapToGrid w:val="0"/>
                <w:sz w:val="11"/>
                <w:szCs w:val="11"/>
              </w:rPr>
              <w:t>划拨社会保险费</w:t>
            </w:r>
          </w:p>
        </w:tc>
        <w:tc>
          <w:tcPr>
            <w:tcW w:w="589" w:type="dxa"/>
            <w:shd w:val="clear" w:color="auto" w:fill="auto"/>
            <w:vAlign w:val="center"/>
          </w:tcPr>
          <w:p w14:paraId="4BB2D923">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015946B2">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57320748">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【法律】《中华人民共和国社会保险法》（2010年10月28日中华人民共和国主席令第35号公布，自2011年7月1日起施行）第四十一条  职工所在用人单位未依法缴纳工伤保险费，发生工伤事故的，由用人单位支付工伤保险待遇。用人单位不支付的，从工伤保险基金中先行支付。从工伤保险基金中先行支付的工伤保险待遇应当由用人单位偿还。用人单位不偿还的，社会保险经办机构可以依照本法第六十三条的规定追偿。</w:t>
            </w:r>
          </w:p>
          <w:p w14:paraId="6CB2A8F5">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第六十三条 用人单位未按时足额缴纳社会保险费的，由社会保险费征收机构责令其限期缴纳或者补足。用人单位逾期仍未缴纳或者补足社会保险费的，社会保险费征收机构可以向银行和其他金融机构查询其存款账户；并可以申请县级以上有关行政部门作出划拨社会保险费的决定，书面通知其开户银行或者其他金融机构划拨社会保险费。用人单位账户余额少于应当缴纳的社会保险费的，社会保险费征收机构可以要求该用人单位提供担保，签订延期缴费协议。</w:t>
            </w:r>
          </w:p>
          <w:p w14:paraId="6D4B6391">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【部门规章】《社会保险费申报缴纳管理规定》（2013年9月26日人力资源和社会保障部令第20号公布，自2013年11月1日起施行）第十九条　社会保险行政部门接到社会保险经办机构划拨申请后，应当按照《中华人民共和国行政强制法》的规定，及时作出划拨社会保险费决定，并书面通知用人单位开户银行或者其他金融机构予以划拨。</w:t>
            </w:r>
          </w:p>
        </w:tc>
        <w:tc>
          <w:tcPr>
            <w:tcW w:w="616" w:type="dxa"/>
            <w:shd w:val="clear" w:color="auto" w:fill="auto"/>
            <w:vAlign w:val="center"/>
          </w:tcPr>
          <w:p w14:paraId="24D31329">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102B5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686" w:hRule="atLeast"/>
          <w:jc w:val="center"/>
        </w:trPr>
        <w:tc>
          <w:tcPr>
            <w:tcW w:w="991" w:type="dxa"/>
            <w:shd w:val="clear" w:color="auto" w:fill="auto"/>
            <w:vAlign w:val="center"/>
          </w:tcPr>
          <w:p w14:paraId="20D12008">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行政强制</w:t>
            </w:r>
          </w:p>
        </w:tc>
        <w:tc>
          <w:tcPr>
            <w:tcW w:w="1554" w:type="dxa"/>
            <w:shd w:val="clear" w:color="auto" w:fill="auto"/>
            <w:vAlign w:val="center"/>
          </w:tcPr>
          <w:p w14:paraId="75E7437B">
            <w:pPr>
              <w:widowControl/>
              <w:adjustRightInd w:val="0"/>
              <w:snapToGrid w:val="0"/>
              <w:spacing w:line="140" w:lineRule="exact"/>
              <w:rPr>
                <w:rFonts w:eastAsia="方正书宋_GBK"/>
                <w:snapToGrid w:val="0"/>
                <w:sz w:val="11"/>
                <w:szCs w:val="11"/>
              </w:rPr>
            </w:pPr>
            <w:r>
              <w:rPr>
                <w:rFonts w:eastAsia="方正书宋_GBK"/>
                <w:snapToGrid w:val="0"/>
                <w:sz w:val="11"/>
                <w:szCs w:val="11"/>
              </w:rPr>
              <w:t>加收社会保险滞纳金</w:t>
            </w:r>
          </w:p>
        </w:tc>
        <w:tc>
          <w:tcPr>
            <w:tcW w:w="589" w:type="dxa"/>
            <w:shd w:val="clear" w:color="auto" w:fill="auto"/>
            <w:vAlign w:val="center"/>
          </w:tcPr>
          <w:p w14:paraId="70D897CB">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438C4346">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658848A9">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【法律】《中华人民共和国社会保险法》（2010年10月28日中华人民共和国主席令第35号公布，自2011年7月1日起施行）第八十六条  用人单位未按时足额缴纳社会保险费的，由社会保险费征收机构责令限期缴纳或者补足，并自欠缴之日起，按日加收万分之五的滞纳金；逾期仍不缴纳的，由有关行政部门处欠缴数额一倍以上三倍以下的罚款。</w:t>
            </w:r>
          </w:p>
          <w:p w14:paraId="49CD15D4">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【法律】《中华人民共和国劳动法》（1994年7月5日中华人民共和国主席令第28号公布，自1995年1月1日起施行）第一百条  用人单位无故不缴纳社会保险费的，由劳动行政部门责令其限期缴纳，逾期不缴的，可以加收滞纳金。</w:t>
            </w:r>
          </w:p>
          <w:p w14:paraId="25AD256C">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【部门规章】《社会保险费申报缴纳管理规定》（2013年9月26日人力资源和社会保障部令第20号公布，自2013年11月1日起施行）第十一条第二款  用人单位未按时足额代缴的，社会保险经办机构应当责令其限期缴纳，并自欠缴之日起按日加收0.5‰的滞纳金。用人单位不得要求职工承担滞纳金。</w:t>
            </w:r>
          </w:p>
        </w:tc>
        <w:tc>
          <w:tcPr>
            <w:tcW w:w="616" w:type="dxa"/>
            <w:shd w:val="clear" w:color="auto" w:fill="auto"/>
            <w:vAlign w:val="center"/>
          </w:tcPr>
          <w:p w14:paraId="37FC1FAC">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61EA1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vAlign w:val="center"/>
          </w:tcPr>
          <w:p w14:paraId="6C960701">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  强制</w:t>
            </w:r>
          </w:p>
        </w:tc>
        <w:tc>
          <w:tcPr>
            <w:tcW w:w="1554" w:type="dxa"/>
            <w:shd w:val="clear" w:color="auto" w:fill="auto"/>
            <w:vAlign w:val="center"/>
          </w:tcPr>
          <w:p w14:paraId="37599C9E">
            <w:pPr>
              <w:widowControl/>
              <w:adjustRightInd w:val="0"/>
              <w:snapToGrid w:val="0"/>
              <w:spacing w:line="140" w:lineRule="exact"/>
              <w:rPr>
                <w:rFonts w:eastAsia="方正书宋_GBK"/>
                <w:snapToGrid w:val="0"/>
                <w:sz w:val="11"/>
                <w:szCs w:val="11"/>
              </w:rPr>
            </w:pPr>
            <w:r>
              <w:rPr>
                <w:rFonts w:eastAsia="方正书宋_GBK"/>
                <w:snapToGrid w:val="0"/>
                <w:sz w:val="11"/>
                <w:szCs w:val="11"/>
              </w:rPr>
              <w:t>对可能被转移、隐匿或者灭失的资料予以封存</w:t>
            </w:r>
          </w:p>
        </w:tc>
        <w:tc>
          <w:tcPr>
            <w:tcW w:w="589" w:type="dxa"/>
            <w:shd w:val="clear" w:color="auto" w:fill="auto"/>
            <w:vAlign w:val="center"/>
          </w:tcPr>
          <w:p w14:paraId="42125BEA">
            <w:pPr>
              <w:widowControl/>
              <w:adjustRightInd w:val="0"/>
              <w:snapToGrid w:val="0"/>
              <w:spacing w:line="140" w:lineRule="exact"/>
              <w:rPr>
                <w:rFonts w:eastAsia="方正书宋_GBK"/>
                <w:snapToGrid w:val="0"/>
                <w:sz w:val="11"/>
                <w:szCs w:val="11"/>
              </w:rPr>
            </w:pPr>
          </w:p>
        </w:tc>
        <w:tc>
          <w:tcPr>
            <w:tcW w:w="782" w:type="dxa"/>
            <w:shd w:val="clear" w:color="auto" w:fill="auto"/>
            <w:vAlign w:val="center"/>
          </w:tcPr>
          <w:p w14:paraId="0E18958A">
            <w:pPr>
              <w:widowControl/>
              <w:adjustRightInd w:val="0"/>
              <w:snapToGrid w:val="0"/>
              <w:spacing w:line="140" w:lineRule="exact"/>
              <w:rPr>
                <w:rFonts w:eastAsia="方正书宋_GBK"/>
                <w:snapToGrid w:val="0"/>
                <w:sz w:val="11"/>
                <w:szCs w:val="11"/>
              </w:rPr>
            </w:pPr>
          </w:p>
        </w:tc>
        <w:tc>
          <w:tcPr>
            <w:tcW w:w="3267" w:type="dxa"/>
            <w:shd w:val="clear" w:color="auto" w:fill="auto"/>
            <w:vAlign w:val="center"/>
          </w:tcPr>
          <w:p w14:paraId="67C8C76D">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【法律】《中华人民共和国社会保险法》（2010年10月28日中华人民共和国主席令第35号公布，自2011年7月1日起施行）第七十九条第二款第一项  ……对可能被转移、隐匿或者灭失的资料予以封存……</w:t>
            </w:r>
          </w:p>
        </w:tc>
        <w:tc>
          <w:tcPr>
            <w:tcW w:w="616" w:type="dxa"/>
            <w:shd w:val="clear" w:color="auto" w:fill="auto"/>
            <w:vAlign w:val="center"/>
          </w:tcPr>
          <w:p w14:paraId="49276B69">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5E74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vAlign w:val="center"/>
          </w:tcPr>
          <w:p w14:paraId="7D87A7C7">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行政征收</w:t>
            </w:r>
          </w:p>
        </w:tc>
        <w:tc>
          <w:tcPr>
            <w:tcW w:w="1554" w:type="dxa"/>
            <w:shd w:val="clear" w:color="auto" w:fill="auto"/>
            <w:vAlign w:val="center"/>
          </w:tcPr>
          <w:p w14:paraId="6CAF3286">
            <w:pPr>
              <w:widowControl/>
              <w:adjustRightInd w:val="0"/>
              <w:snapToGrid w:val="0"/>
              <w:spacing w:line="140" w:lineRule="exact"/>
              <w:rPr>
                <w:rFonts w:eastAsia="方正书宋_GBK"/>
                <w:snapToGrid w:val="0"/>
                <w:sz w:val="11"/>
                <w:szCs w:val="11"/>
              </w:rPr>
            </w:pPr>
            <w:r>
              <w:rPr>
                <w:rFonts w:eastAsia="方正书宋_GBK"/>
                <w:snapToGrid w:val="0"/>
                <w:sz w:val="11"/>
                <w:szCs w:val="11"/>
              </w:rPr>
              <w:t>社会保险费的征收</w:t>
            </w:r>
          </w:p>
        </w:tc>
        <w:tc>
          <w:tcPr>
            <w:tcW w:w="589" w:type="dxa"/>
            <w:shd w:val="clear" w:color="auto" w:fill="auto"/>
            <w:vAlign w:val="center"/>
          </w:tcPr>
          <w:p w14:paraId="34671342">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6B1C7B59">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44DF432A">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【法律】《中华人民共和国社会保险法》（2010年10月28日中华人民共和国主席令第35号公布，自2011年7月1日起施行）第六十一条  社会保险费征收机构应当依法按时足额征收社会保险费，…。</w:t>
            </w:r>
          </w:p>
          <w:p w14:paraId="62DC283E">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【行政法规】《社会保险费征缴暂行条例》（1999年1月22日中华人民共和国国务院令第259号公布，自1999年1月22日施行）第六条  社会保险费实行三项社会保险费集中、统一征收。社会保险费的征收机构由省、自治区、直辖市人民政府规定，可以由税务机关征收，也可以由劳动保障行政部门按照国务院规定设立的社会保险经办机构（以下简称社会保险经办机构）征收。</w:t>
            </w:r>
          </w:p>
        </w:tc>
        <w:tc>
          <w:tcPr>
            <w:tcW w:w="616" w:type="dxa"/>
            <w:shd w:val="clear" w:color="auto" w:fill="auto"/>
            <w:vAlign w:val="center"/>
          </w:tcPr>
          <w:p w14:paraId="7E3F10BD">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E5AF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vAlign w:val="center"/>
          </w:tcPr>
          <w:p w14:paraId="65AA8C84">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行政征收</w:t>
            </w:r>
          </w:p>
        </w:tc>
        <w:tc>
          <w:tcPr>
            <w:tcW w:w="1554" w:type="dxa"/>
            <w:shd w:val="clear" w:color="auto" w:fill="auto"/>
            <w:vAlign w:val="center"/>
          </w:tcPr>
          <w:p w14:paraId="7A3409D1">
            <w:pPr>
              <w:widowControl/>
              <w:adjustRightInd w:val="0"/>
              <w:snapToGrid w:val="0"/>
              <w:spacing w:line="140" w:lineRule="exact"/>
              <w:rPr>
                <w:rFonts w:eastAsia="方正书宋_GBK"/>
                <w:snapToGrid w:val="0"/>
                <w:sz w:val="11"/>
                <w:szCs w:val="11"/>
              </w:rPr>
            </w:pPr>
            <w:r>
              <w:rPr>
                <w:rFonts w:eastAsia="方正书宋_GBK"/>
                <w:snapToGrid w:val="0"/>
                <w:sz w:val="11"/>
                <w:szCs w:val="11"/>
              </w:rPr>
              <w:t>社会保险参保人员保险费补缴</w:t>
            </w:r>
          </w:p>
        </w:tc>
        <w:tc>
          <w:tcPr>
            <w:tcW w:w="589" w:type="dxa"/>
            <w:shd w:val="clear" w:color="auto" w:fill="auto"/>
            <w:vAlign w:val="center"/>
          </w:tcPr>
          <w:p w14:paraId="5FB163A6">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3595568D">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54A86B0E">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【部门规章】《社会保险费申报缴纳管理规定》（2013年9月26日人力资源和社会保障部令第20号公布，自2013年11月1日起施行）第十六条  用人单位有下列情形之一的，社会保险经办机构应当于查明欠缴事实之日起5个工作日内发出社会保险费限期补缴通知，责令用人单位在收到通知后5个工作日内补缴，同时告知其逾期仍未缴纳的，将按照社会保险法第六十三条、第八十六条的规定处理：（一）未按规定申报且未缴纳社会保险费的；（二）申报后未按时足额缴纳社会保险费的；（三）因瞒报、漏报职工人数、缴费基数等事项而少缴社会保险费的。</w:t>
            </w:r>
          </w:p>
        </w:tc>
        <w:tc>
          <w:tcPr>
            <w:tcW w:w="616" w:type="dxa"/>
            <w:shd w:val="clear" w:color="auto" w:fill="auto"/>
            <w:vAlign w:val="center"/>
          </w:tcPr>
          <w:p w14:paraId="6BC74C8B">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30E75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vAlign w:val="center"/>
          </w:tcPr>
          <w:p w14:paraId="125174B9">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行政检查</w:t>
            </w:r>
          </w:p>
        </w:tc>
        <w:tc>
          <w:tcPr>
            <w:tcW w:w="1554" w:type="dxa"/>
            <w:shd w:val="clear" w:color="auto" w:fill="auto"/>
            <w:vAlign w:val="center"/>
          </w:tcPr>
          <w:p w14:paraId="64EAF900">
            <w:pPr>
              <w:widowControl/>
              <w:adjustRightInd w:val="0"/>
              <w:snapToGrid w:val="0"/>
              <w:spacing w:line="140" w:lineRule="exact"/>
              <w:rPr>
                <w:rFonts w:eastAsia="方正书宋_GBK"/>
                <w:snapToGrid w:val="0"/>
                <w:sz w:val="11"/>
                <w:szCs w:val="11"/>
              </w:rPr>
            </w:pPr>
            <w:r>
              <w:rPr>
                <w:rFonts w:eastAsia="方正书宋_GBK"/>
                <w:snapToGrid w:val="0"/>
                <w:sz w:val="11"/>
                <w:szCs w:val="11"/>
              </w:rPr>
              <w:t>对用人单位和个人遵守社会保险法律、法规的情况开展监督检查</w:t>
            </w:r>
          </w:p>
        </w:tc>
        <w:tc>
          <w:tcPr>
            <w:tcW w:w="589" w:type="dxa"/>
            <w:shd w:val="clear" w:color="auto" w:fill="auto"/>
            <w:vAlign w:val="center"/>
          </w:tcPr>
          <w:p w14:paraId="56D221FF">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039531DB">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363284C9">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【法律】《中华人民共和国社会保险法》（2010年10月28日中华人民共和国主席令第35号公布，自2011年7月1日起施行）第七十七条    县级以上人民政府社会保险行政部门应当加强对用人单位和个人遵守社会保险法律、法规情况的监督检查。</w:t>
            </w:r>
          </w:p>
        </w:tc>
        <w:tc>
          <w:tcPr>
            <w:tcW w:w="616" w:type="dxa"/>
            <w:shd w:val="clear" w:color="auto" w:fill="auto"/>
            <w:vAlign w:val="center"/>
          </w:tcPr>
          <w:p w14:paraId="750A8B2E">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54968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vAlign w:val="center"/>
          </w:tcPr>
          <w:p w14:paraId="7C0D1EF7">
            <w:pPr>
              <w:widowControl/>
              <w:adjustRightInd w:val="0"/>
              <w:snapToGrid w:val="0"/>
              <w:spacing w:line="140" w:lineRule="exact"/>
              <w:rPr>
                <w:rFonts w:eastAsia="方正书宋_GBK"/>
                <w:snapToGrid w:val="0"/>
                <w:sz w:val="11"/>
                <w:szCs w:val="11"/>
              </w:rPr>
            </w:pPr>
          </w:p>
        </w:tc>
        <w:tc>
          <w:tcPr>
            <w:tcW w:w="1554" w:type="dxa"/>
            <w:shd w:val="clear" w:color="auto" w:fill="auto"/>
            <w:vAlign w:val="center"/>
          </w:tcPr>
          <w:p w14:paraId="5D8FCFDB">
            <w:pPr>
              <w:widowControl/>
              <w:adjustRightInd w:val="0"/>
              <w:snapToGrid w:val="0"/>
              <w:spacing w:line="140" w:lineRule="exact"/>
              <w:rPr>
                <w:rFonts w:eastAsia="方正书宋_GBK"/>
                <w:snapToGrid w:val="0"/>
                <w:sz w:val="11"/>
                <w:szCs w:val="11"/>
              </w:rPr>
            </w:pPr>
          </w:p>
        </w:tc>
        <w:tc>
          <w:tcPr>
            <w:tcW w:w="589" w:type="dxa"/>
            <w:shd w:val="clear" w:color="auto" w:fill="auto"/>
            <w:vAlign w:val="center"/>
          </w:tcPr>
          <w:p w14:paraId="3E026577">
            <w:pPr>
              <w:widowControl/>
              <w:adjustRightInd w:val="0"/>
              <w:snapToGrid w:val="0"/>
              <w:spacing w:line="140" w:lineRule="exact"/>
              <w:rPr>
                <w:rFonts w:eastAsia="方正书宋_GBK"/>
                <w:snapToGrid w:val="0"/>
                <w:sz w:val="11"/>
                <w:szCs w:val="11"/>
              </w:rPr>
            </w:pPr>
          </w:p>
        </w:tc>
        <w:tc>
          <w:tcPr>
            <w:tcW w:w="782" w:type="dxa"/>
            <w:shd w:val="clear" w:color="auto" w:fill="auto"/>
            <w:vAlign w:val="center"/>
          </w:tcPr>
          <w:p w14:paraId="4EC9E16F">
            <w:pPr>
              <w:widowControl/>
              <w:adjustRightInd w:val="0"/>
              <w:snapToGrid w:val="0"/>
              <w:spacing w:line="140" w:lineRule="exact"/>
              <w:rPr>
                <w:rFonts w:eastAsia="方正书宋_GBK"/>
                <w:snapToGrid w:val="0"/>
                <w:sz w:val="11"/>
                <w:szCs w:val="11"/>
              </w:rPr>
            </w:pPr>
          </w:p>
        </w:tc>
        <w:tc>
          <w:tcPr>
            <w:tcW w:w="3267" w:type="dxa"/>
            <w:shd w:val="clear" w:color="auto" w:fill="auto"/>
            <w:vAlign w:val="center"/>
          </w:tcPr>
          <w:p w14:paraId="61F74F2C">
            <w:pPr>
              <w:widowControl/>
              <w:adjustRightInd w:val="0"/>
              <w:snapToGrid w:val="0"/>
              <w:spacing w:line="140" w:lineRule="exact"/>
              <w:ind w:firstLine="220" w:firstLineChars="200"/>
              <w:rPr>
                <w:rFonts w:eastAsia="方正书宋_GBK"/>
                <w:snapToGrid w:val="0"/>
                <w:sz w:val="11"/>
                <w:szCs w:val="11"/>
              </w:rPr>
            </w:pPr>
          </w:p>
        </w:tc>
        <w:tc>
          <w:tcPr>
            <w:tcW w:w="616" w:type="dxa"/>
            <w:shd w:val="clear" w:color="auto" w:fill="auto"/>
            <w:vAlign w:val="center"/>
          </w:tcPr>
          <w:p w14:paraId="3325684B">
            <w:pPr>
              <w:widowControl/>
              <w:adjustRightInd w:val="0"/>
              <w:snapToGrid w:val="0"/>
              <w:spacing w:line="140" w:lineRule="exact"/>
              <w:rPr>
                <w:rFonts w:eastAsia="方正书宋_GBK"/>
                <w:snapToGrid w:val="0"/>
                <w:sz w:val="11"/>
                <w:szCs w:val="11"/>
              </w:rPr>
            </w:pPr>
          </w:p>
        </w:tc>
      </w:tr>
      <w:tr w14:paraId="6FD83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vAlign w:val="center"/>
          </w:tcPr>
          <w:p w14:paraId="15DCEFFA">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行政检查</w:t>
            </w:r>
          </w:p>
        </w:tc>
        <w:tc>
          <w:tcPr>
            <w:tcW w:w="1554" w:type="dxa"/>
            <w:shd w:val="clear" w:color="auto" w:fill="auto"/>
            <w:vAlign w:val="center"/>
          </w:tcPr>
          <w:p w14:paraId="1AF9EAD3">
            <w:pPr>
              <w:widowControl/>
              <w:adjustRightInd w:val="0"/>
              <w:snapToGrid w:val="0"/>
              <w:spacing w:line="140" w:lineRule="exact"/>
              <w:rPr>
                <w:rFonts w:eastAsia="方正书宋_GBK"/>
                <w:snapToGrid w:val="0"/>
                <w:sz w:val="11"/>
                <w:szCs w:val="11"/>
              </w:rPr>
            </w:pPr>
            <w:r>
              <w:rPr>
                <w:rFonts w:eastAsia="方正书宋_GBK"/>
                <w:snapToGrid w:val="0"/>
                <w:sz w:val="11"/>
                <w:szCs w:val="11"/>
              </w:rPr>
              <w:t>对社会保险基金的收支、管理和投资运营情况进行监督检查</w:t>
            </w:r>
          </w:p>
        </w:tc>
        <w:tc>
          <w:tcPr>
            <w:tcW w:w="589" w:type="dxa"/>
            <w:shd w:val="clear" w:color="auto" w:fill="auto"/>
            <w:vAlign w:val="center"/>
          </w:tcPr>
          <w:p w14:paraId="218841D6">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79E61EA1">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7103277F">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【法律】《中华人民共和国社会保险法》（2010年10月28日中华人民共和国主席令第35号公布，自2011年7月1日起施行）第七十九条  社会保险行政部门对社会保险基金的收支、管理和投资运营情况进行监督检查，发现存在问题的，应当提出整改建议，依法作出处理决定或者向有关行政部门提出处理建议。社会保险基金检查结果应当定期向社会公布。</w:t>
            </w:r>
          </w:p>
          <w:p w14:paraId="257C55B1">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社会保险行政部门对社会保险基金实施监督检查，有权采取下列措施：</w:t>
            </w:r>
          </w:p>
          <w:p w14:paraId="722A3626">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（一）查阅、记录、复制与社会保险基金收支、管理和投资运营相关的资料，对可能被转移、隐匿或者灭失的资料予以封存；</w:t>
            </w:r>
          </w:p>
          <w:p w14:paraId="745E5551">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（二）询问与调查事项有关的单位和个人，要求其对与调查事项有关的问题作出说明、提供有关证明材料；</w:t>
            </w:r>
          </w:p>
          <w:p w14:paraId="72770043">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（三）对隐匿、转移、侵占、挪用社会保险基金的行为予以制止并责令改正。</w:t>
            </w:r>
          </w:p>
          <w:p w14:paraId="64986733">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【行政法规】《社会保险基金行政监督办法》第三条第二款  劳动保障行政部门负责社会保险基金监督的机构（以下简称监督机构）具体实施社会保险基金监督工作。</w:t>
            </w:r>
          </w:p>
        </w:tc>
        <w:tc>
          <w:tcPr>
            <w:tcW w:w="616" w:type="dxa"/>
            <w:shd w:val="clear" w:color="auto" w:fill="auto"/>
            <w:vAlign w:val="center"/>
          </w:tcPr>
          <w:p w14:paraId="29AA356D">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6E92E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721" w:hRule="atLeast"/>
          <w:jc w:val="center"/>
        </w:trPr>
        <w:tc>
          <w:tcPr>
            <w:tcW w:w="991" w:type="dxa"/>
            <w:shd w:val="clear" w:color="auto" w:fill="auto"/>
            <w:vAlign w:val="center"/>
          </w:tcPr>
          <w:p w14:paraId="4851CA3A">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行政检查</w:t>
            </w:r>
          </w:p>
        </w:tc>
        <w:tc>
          <w:tcPr>
            <w:tcW w:w="1554" w:type="dxa"/>
            <w:shd w:val="clear" w:color="auto" w:fill="auto"/>
            <w:vAlign w:val="center"/>
          </w:tcPr>
          <w:p w14:paraId="16FD6A6D">
            <w:pPr>
              <w:widowControl/>
              <w:adjustRightInd w:val="0"/>
              <w:snapToGrid w:val="0"/>
              <w:spacing w:line="140" w:lineRule="exact"/>
              <w:rPr>
                <w:rFonts w:eastAsia="方正书宋_GBK"/>
                <w:snapToGrid w:val="0"/>
                <w:sz w:val="11"/>
                <w:szCs w:val="11"/>
              </w:rPr>
            </w:pPr>
            <w:r>
              <w:rPr>
                <w:rFonts w:eastAsia="方正书宋_GBK"/>
                <w:snapToGrid w:val="0"/>
                <w:sz w:val="11"/>
                <w:szCs w:val="11"/>
              </w:rPr>
              <w:t>对实施《就业促进法》情况的监督检查</w:t>
            </w:r>
          </w:p>
        </w:tc>
        <w:tc>
          <w:tcPr>
            <w:tcW w:w="589" w:type="dxa"/>
            <w:shd w:val="clear" w:color="auto" w:fill="auto"/>
            <w:vAlign w:val="center"/>
          </w:tcPr>
          <w:p w14:paraId="5CF55C85">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56AD2853">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2065442D">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就业促进法》（2007年8月30日中华人民共和国主席令第70号公布，自2008年1月1日起施行，（根据2015年4月24日第十二届全国人民代表大会常务委员会第十四次会议《关于修改&lt;中华人民共和国电力法&gt;等六部法律的决定》修正））第六十条 劳动行政部门应当对本法实施情况进行监督检查……</w:t>
            </w:r>
          </w:p>
        </w:tc>
        <w:tc>
          <w:tcPr>
            <w:tcW w:w="616" w:type="dxa"/>
            <w:shd w:val="clear" w:color="auto" w:fill="auto"/>
            <w:vAlign w:val="center"/>
          </w:tcPr>
          <w:p w14:paraId="768832C1">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096BD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206" w:hRule="atLeast"/>
          <w:jc w:val="center"/>
        </w:trPr>
        <w:tc>
          <w:tcPr>
            <w:tcW w:w="991" w:type="dxa"/>
            <w:shd w:val="clear" w:color="auto" w:fill="auto"/>
            <w:vAlign w:val="center"/>
          </w:tcPr>
          <w:p w14:paraId="6ACB4E78">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行政检查</w:t>
            </w:r>
          </w:p>
        </w:tc>
        <w:tc>
          <w:tcPr>
            <w:tcW w:w="1554" w:type="dxa"/>
            <w:shd w:val="clear" w:color="auto" w:fill="auto"/>
            <w:vAlign w:val="center"/>
          </w:tcPr>
          <w:p w14:paraId="4910BBC7">
            <w:pPr>
              <w:widowControl/>
              <w:adjustRightInd w:val="0"/>
              <w:snapToGrid w:val="0"/>
              <w:spacing w:line="140" w:lineRule="exact"/>
              <w:rPr>
                <w:rFonts w:eastAsia="方正书宋_GBK"/>
                <w:snapToGrid w:val="0"/>
                <w:sz w:val="11"/>
                <w:szCs w:val="11"/>
              </w:rPr>
            </w:pPr>
            <w:r>
              <w:rPr>
                <w:rFonts w:eastAsia="方正书宋_GBK"/>
                <w:snapToGrid w:val="0"/>
                <w:sz w:val="11"/>
                <w:szCs w:val="11"/>
              </w:rPr>
              <w:t>民办职业学校（含教学、培训机构）评估</w:t>
            </w:r>
          </w:p>
        </w:tc>
        <w:tc>
          <w:tcPr>
            <w:tcW w:w="589" w:type="dxa"/>
            <w:shd w:val="clear" w:color="auto" w:fill="auto"/>
            <w:vAlign w:val="center"/>
          </w:tcPr>
          <w:p w14:paraId="764B1F1C">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43398333">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20FBFA41">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【法律】《中华人民共和国民办教育促进法》（2002年12月28日中华人民共和国主席令第80号公布，自2003年9月1日起施行；2013年6月29日中华人民共和国主席令第5号公布修改，自2013年6月29日起施行）第八条第二款 县级以上地方各级人民政府劳动和社会保障行政部门及其他有关部门在各自的职责范围内，分别负责有关的民办教育工作。 第四十条   教育行政部门及有关部门依法对民办学校实行督导，促进提高办学质量；组织或者委托社会中介组织评估办学水平和教育质量，并将评估结果向社会公布。</w:t>
            </w:r>
          </w:p>
          <w:p w14:paraId="13091FFE">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【行政法规】《中华人民共和国民办教育促进法实施条例》（2004年3月5日中华人民共和国国务院令第399号公布，自2004年4月1日起施行）第三十二条  教育行政部门、劳动和社会保障行政部门应当加强对民办学校的日常监督，定期组织和委托社会中介组织评估民办学校办学水平和教育质量，并鼓励和支持民办学校开展教育教学研究工作，促进民办学校提高教育教学质量。</w:t>
            </w:r>
          </w:p>
        </w:tc>
        <w:tc>
          <w:tcPr>
            <w:tcW w:w="616" w:type="dxa"/>
            <w:shd w:val="clear" w:color="auto" w:fill="auto"/>
            <w:vAlign w:val="center"/>
          </w:tcPr>
          <w:p w14:paraId="16247E60">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45639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10" w:hRule="atLeast"/>
          <w:jc w:val="center"/>
        </w:trPr>
        <w:tc>
          <w:tcPr>
            <w:tcW w:w="991" w:type="dxa"/>
            <w:shd w:val="clear" w:color="auto" w:fill="auto"/>
            <w:vAlign w:val="center"/>
          </w:tcPr>
          <w:p w14:paraId="23D99F9A">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行政检查</w:t>
            </w:r>
          </w:p>
        </w:tc>
        <w:tc>
          <w:tcPr>
            <w:tcW w:w="1554" w:type="dxa"/>
            <w:shd w:val="clear" w:color="auto" w:fill="auto"/>
            <w:vAlign w:val="center"/>
          </w:tcPr>
          <w:p w14:paraId="7296D2C9">
            <w:pPr>
              <w:widowControl/>
              <w:adjustRightInd w:val="0"/>
              <w:snapToGrid w:val="0"/>
              <w:spacing w:line="140" w:lineRule="exact"/>
              <w:rPr>
                <w:rFonts w:eastAsia="方正书宋_GBK"/>
                <w:snapToGrid w:val="0"/>
                <w:sz w:val="11"/>
                <w:szCs w:val="11"/>
              </w:rPr>
            </w:pPr>
            <w:r>
              <w:rPr>
                <w:rFonts w:eastAsia="方正书宋_GBK"/>
                <w:snapToGrid w:val="0"/>
                <w:sz w:val="11"/>
                <w:szCs w:val="11"/>
              </w:rPr>
              <w:t>对用人单位遵守劳动法律、法规的情况进行监督检查</w:t>
            </w:r>
          </w:p>
        </w:tc>
        <w:tc>
          <w:tcPr>
            <w:tcW w:w="589" w:type="dxa"/>
            <w:shd w:val="clear" w:color="auto" w:fill="auto"/>
            <w:vAlign w:val="center"/>
          </w:tcPr>
          <w:p w14:paraId="5832FE1F">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0AC8117F">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61A872AA">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【法律】《中华人民共和国劳动法》（1994年7月5日中华人民共和国主席令第28号公布，自1995年1月1日起施行）第八十五条  县级以上各级人民政府劳动行政部门依法对用人单位遵守劳动法律、法规的情况进行监督检查，对违反劳动法律、法规的行为有权制止，并责令改正。</w:t>
            </w:r>
          </w:p>
          <w:p w14:paraId="54550EF5">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第八十六条  县级以上各级人民政府劳动行政部门监督检查人员执行公务，有权进入用人单位了解执行劳动法律、法规的情况，查阅必要的资料，并对劳动场所进行检查。</w:t>
            </w:r>
          </w:p>
          <w:p w14:paraId="3DE7F50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县级以上各级人民政府劳动行政部门监督检查人员执行公务，必须出示证件，秉公执法并遵守有关规定。</w:t>
            </w:r>
          </w:p>
          <w:p w14:paraId="3CE1EFDF">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【行政法规】《劳动保障监察条例》（2004年11月1日中华人民共和国国务院令第423号公布，自2004年12月1日起施行）第十条  ……（二）检查用人单位遵守劳动保障法律、法规和规章的情况……</w:t>
            </w:r>
          </w:p>
          <w:p w14:paraId="637C581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第十五条  劳动保障行政部门实施劳动保障监察，有权采取下列调查、检查措施：（一）进入用人单位的劳动场所进行检查；（二）就调查、检查事项询问有关人员；（三）要求用人单位提供与调查、检查事项相关的文件资料，并作出解释和说明，必要时可以发出调查询问书；（四）采取记录、录音、录像、照相或者复制等方式收集有关情况和资料；（五）委托会计师事务所对用人单位工资支付、缴纳社会保险费的情况进行审计；（六）法律、法规规定可以由劳动保障行政部门采取的其他调查、检查措施。劳动保障行政部门对事实清楚、证据确凿、可以当场处理的违反劳动保障法律、法规或者规章的行为有权当场予以纠正。</w:t>
            </w:r>
          </w:p>
        </w:tc>
        <w:tc>
          <w:tcPr>
            <w:tcW w:w="616" w:type="dxa"/>
            <w:shd w:val="clear" w:color="auto" w:fill="auto"/>
            <w:vAlign w:val="center"/>
          </w:tcPr>
          <w:p w14:paraId="2098D53F">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13CF4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92" w:hRule="atLeast"/>
          <w:jc w:val="center"/>
        </w:trPr>
        <w:tc>
          <w:tcPr>
            <w:tcW w:w="991" w:type="dxa"/>
            <w:shd w:val="clear" w:color="auto" w:fill="auto"/>
            <w:vAlign w:val="center"/>
          </w:tcPr>
          <w:p w14:paraId="234D1A96">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行政检查</w:t>
            </w:r>
          </w:p>
        </w:tc>
        <w:tc>
          <w:tcPr>
            <w:tcW w:w="1554" w:type="dxa"/>
            <w:shd w:val="clear" w:color="auto" w:fill="auto"/>
            <w:vAlign w:val="center"/>
          </w:tcPr>
          <w:p w14:paraId="7EB8308A">
            <w:pPr>
              <w:widowControl/>
              <w:adjustRightInd w:val="0"/>
              <w:snapToGrid w:val="0"/>
              <w:spacing w:line="140" w:lineRule="exact"/>
              <w:rPr>
                <w:rFonts w:eastAsia="方正书宋_GBK"/>
                <w:snapToGrid w:val="0"/>
                <w:sz w:val="11"/>
                <w:szCs w:val="11"/>
              </w:rPr>
            </w:pPr>
            <w:r>
              <w:rPr>
                <w:rFonts w:eastAsia="方正书宋_GBK"/>
                <w:snapToGrid w:val="0"/>
                <w:sz w:val="11"/>
                <w:szCs w:val="11"/>
              </w:rPr>
              <w:t>社会保险职责范围内举报、投诉的稽核</w:t>
            </w:r>
          </w:p>
        </w:tc>
        <w:tc>
          <w:tcPr>
            <w:tcW w:w="589" w:type="dxa"/>
            <w:shd w:val="clear" w:color="auto" w:fill="auto"/>
            <w:vAlign w:val="center"/>
          </w:tcPr>
          <w:p w14:paraId="0E1DC80D">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09020660">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086AAD0A">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【法律】《中华人民共和国社会保险法》（2010年10月28日中华人民共和国主席令第35号公布，自2011年7月1日起施行）第八十二条第二款  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14:paraId="6308E4FD">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【部门规章】《社会保险稽核办法》（2003年2月27日中华人民共和国劳动和社会保障部令第16号公布，自2003年4月1日起施行）第三条  县级以上社会保险经办机构负责社会保险稽核工作。 第八条  ......对于不按规定缴纳社会保险费的行为，任何单位和个人有权举报，社会保险经办机构应当及时受理举报并进行稽核。</w:t>
            </w:r>
          </w:p>
        </w:tc>
        <w:tc>
          <w:tcPr>
            <w:tcW w:w="616" w:type="dxa"/>
            <w:shd w:val="clear" w:color="auto" w:fill="auto"/>
            <w:vAlign w:val="center"/>
          </w:tcPr>
          <w:p w14:paraId="3FE8C63C">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469CC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22" w:hRule="atLeast"/>
          <w:jc w:val="center"/>
        </w:trPr>
        <w:tc>
          <w:tcPr>
            <w:tcW w:w="991" w:type="dxa"/>
            <w:shd w:val="clear" w:color="auto" w:fill="auto"/>
            <w:vAlign w:val="center"/>
          </w:tcPr>
          <w:p w14:paraId="49B1A3F2">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行政检查</w:t>
            </w:r>
          </w:p>
        </w:tc>
        <w:tc>
          <w:tcPr>
            <w:tcW w:w="1554" w:type="dxa"/>
            <w:shd w:val="clear" w:color="auto" w:fill="auto"/>
            <w:vAlign w:val="center"/>
          </w:tcPr>
          <w:p w14:paraId="7299F55E">
            <w:pPr>
              <w:widowControl/>
              <w:adjustRightInd w:val="0"/>
              <w:snapToGrid w:val="0"/>
              <w:spacing w:line="140" w:lineRule="exact"/>
              <w:rPr>
                <w:rFonts w:eastAsia="方正书宋_GBK"/>
                <w:snapToGrid w:val="0"/>
                <w:sz w:val="11"/>
                <w:szCs w:val="11"/>
              </w:rPr>
            </w:pPr>
            <w:r>
              <w:rPr>
                <w:rFonts w:eastAsia="方正书宋_GBK"/>
                <w:snapToGrid w:val="0"/>
                <w:sz w:val="11"/>
                <w:szCs w:val="11"/>
              </w:rPr>
              <w:t>社会保险缴费稽核和待遇稽核</w:t>
            </w:r>
          </w:p>
        </w:tc>
        <w:tc>
          <w:tcPr>
            <w:tcW w:w="589" w:type="dxa"/>
            <w:shd w:val="clear" w:color="auto" w:fill="auto"/>
            <w:vAlign w:val="center"/>
          </w:tcPr>
          <w:p w14:paraId="363DDAC7">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775BB018">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68DB8E38">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【法律】《中华人民共和国社会保险法》（2010年10月28日中华人民共和国主席令第35号公布，自2011年7月1日起施行）第八十二条第二款  社会保险行政部门、卫生行政部门、社会保险经办机构、社会保险费征收机构和财政部门、审计机关对属于本部门、本机构职责范围的举报、投诉，应当依法处理。有权处理的部门、机构应当及时处理，不得推诿。</w:t>
            </w:r>
          </w:p>
          <w:p w14:paraId="1943EAE8">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【部门规章】《社会保险稽核办法》（2003年2月27日中华人民共和国劳动和社会保障部令第16号公布，自2003年4月1日起施行）第三条   县级以上社会保险经办机构负责社会保险稽核工作。</w:t>
            </w:r>
          </w:p>
        </w:tc>
        <w:tc>
          <w:tcPr>
            <w:tcW w:w="616" w:type="dxa"/>
            <w:shd w:val="clear" w:color="auto" w:fill="auto"/>
            <w:vAlign w:val="center"/>
          </w:tcPr>
          <w:p w14:paraId="1F71389B">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36933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049" w:hRule="atLeast"/>
          <w:jc w:val="center"/>
        </w:trPr>
        <w:tc>
          <w:tcPr>
            <w:tcW w:w="991" w:type="dxa"/>
            <w:shd w:val="clear" w:color="auto" w:fill="auto"/>
            <w:vAlign w:val="center"/>
          </w:tcPr>
          <w:p w14:paraId="524DD93E">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行政确认</w:t>
            </w:r>
          </w:p>
        </w:tc>
        <w:tc>
          <w:tcPr>
            <w:tcW w:w="1554" w:type="dxa"/>
            <w:shd w:val="clear" w:color="auto" w:fill="auto"/>
            <w:vAlign w:val="center"/>
          </w:tcPr>
          <w:p w14:paraId="1BE722E3">
            <w:pPr>
              <w:widowControl/>
              <w:adjustRightInd w:val="0"/>
              <w:snapToGrid w:val="0"/>
              <w:spacing w:line="140" w:lineRule="exact"/>
              <w:rPr>
                <w:rFonts w:eastAsia="方正书宋_GBK"/>
                <w:snapToGrid w:val="0"/>
                <w:sz w:val="11"/>
                <w:szCs w:val="11"/>
              </w:rPr>
            </w:pPr>
            <w:r>
              <w:rPr>
                <w:rFonts w:eastAsia="方正书宋_GBK"/>
                <w:snapToGrid w:val="0"/>
                <w:sz w:val="11"/>
                <w:szCs w:val="11"/>
              </w:rPr>
              <w:t>基本养老保险待遇领取资格确认</w:t>
            </w:r>
          </w:p>
        </w:tc>
        <w:tc>
          <w:tcPr>
            <w:tcW w:w="589" w:type="dxa"/>
            <w:shd w:val="clear" w:color="auto" w:fill="auto"/>
            <w:vAlign w:val="center"/>
          </w:tcPr>
          <w:p w14:paraId="1CDDF821">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31A1427B">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7247DEB4">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【法律】《中华人民共和国社会保险法》（2010年10月28日中华人民共和国主席令第35号公布，自2011年7月1日起施行）第七条   国务院社会保险行政部门负责全国的社会保险管理工作，国务院其他有关部门在各自的职责范围内负责有关的社会保险工作。县级以上地方人民政府社会保险行政部门负责本行政区域的社会保险管理工作，县级以上地方人民政府其他有关部门在各自的职责范围内负责有关的社会保险工作。</w:t>
            </w:r>
          </w:p>
          <w:p w14:paraId="1881DB2A">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【部门规章】《社会保险稽核办法》（2003年2月27日劳动和社会保障部令第16号公布，自2003年4月1日起施行）第十二条  社会保险经办机构应当对参保个人领取社会保险待遇情况进行核查，发现社会保险待遇领取人丧失待遇领取资格后本人或他人继续领取待遇或以其他形式骗取社会保险待遇的，社会保险经办机构应当立即停止待遇的支付并责令退还；……</w:t>
            </w:r>
          </w:p>
        </w:tc>
        <w:tc>
          <w:tcPr>
            <w:tcW w:w="616" w:type="dxa"/>
            <w:shd w:val="clear" w:color="auto" w:fill="auto"/>
            <w:vAlign w:val="center"/>
          </w:tcPr>
          <w:p w14:paraId="70DAD321">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B54D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965" w:hRule="atLeast"/>
          <w:jc w:val="center"/>
        </w:trPr>
        <w:tc>
          <w:tcPr>
            <w:tcW w:w="991" w:type="dxa"/>
            <w:vMerge w:val="restart"/>
            <w:shd w:val="clear" w:color="auto" w:fill="auto"/>
            <w:vAlign w:val="center"/>
          </w:tcPr>
          <w:p w14:paraId="6C3A2666">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行政确认</w:t>
            </w:r>
          </w:p>
        </w:tc>
        <w:tc>
          <w:tcPr>
            <w:tcW w:w="1554" w:type="dxa"/>
            <w:vMerge w:val="restart"/>
            <w:shd w:val="clear" w:color="auto" w:fill="auto"/>
            <w:vAlign w:val="center"/>
          </w:tcPr>
          <w:p w14:paraId="094C1700">
            <w:pPr>
              <w:widowControl/>
              <w:adjustRightInd w:val="0"/>
              <w:snapToGrid w:val="0"/>
              <w:spacing w:line="140" w:lineRule="exact"/>
              <w:rPr>
                <w:rFonts w:eastAsia="方正书宋_GBK"/>
                <w:snapToGrid w:val="0"/>
                <w:sz w:val="11"/>
                <w:szCs w:val="11"/>
              </w:rPr>
            </w:pPr>
            <w:r>
              <w:rPr>
                <w:rFonts w:eastAsia="方正书宋_GBK"/>
                <w:snapToGrid w:val="0"/>
                <w:sz w:val="11"/>
                <w:szCs w:val="11"/>
              </w:rPr>
              <w:t>工伤认定</w:t>
            </w:r>
          </w:p>
        </w:tc>
        <w:tc>
          <w:tcPr>
            <w:tcW w:w="589" w:type="dxa"/>
            <w:shd w:val="clear" w:color="auto" w:fill="auto"/>
            <w:vAlign w:val="center"/>
          </w:tcPr>
          <w:p w14:paraId="42A83CFF">
            <w:pPr>
              <w:widowControl/>
              <w:adjustRightInd w:val="0"/>
              <w:snapToGrid w:val="0"/>
              <w:spacing w:line="140" w:lineRule="exact"/>
              <w:rPr>
                <w:rFonts w:eastAsia="方正书宋_GBK"/>
                <w:snapToGrid w:val="0"/>
                <w:sz w:val="11"/>
                <w:szCs w:val="11"/>
              </w:rPr>
            </w:pPr>
            <w:r>
              <w:rPr>
                <w:rFonts w:eastAsia="方正书宋_GBK"/>
                <w:snapToGrid w:val="0"/>
                <w:sz w:val="11"/>
                <w:szCs w:val="11"/>
              </w:rPr>
              <w:t>工伤认定</w:t>
            </w:r>
          </w:p>
        </w:tc>
        <w:tc>
          <w:tcPr>
            <w:tcW w:w="782" w:type="dxa"/>
            <w:shd w:val="clear" w:color="auto" w:fill="auto"/>
            <w:vAlign w:val="center"/>
          </w:tcPr>
          <w:p w14:paraId="5325E4D4">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1EE3CA6D">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【行政法规】《工伤保险条例》（2003年4月27日中华人民共和国国务院令第375号公布，自2004年1月1日起施行，2010年12月20日修订）第十七条第一款  职工发生事故伤害或者按照职业病防治法规定被诊断、鉴定为职业病，所在单位应当自事故伤害发生之日或者被诊断、鉴定为职业病之日起30日内，向统筹地区社会保险行政部门提出工伤认定申请。</w:t>
            </w:r>
          </w:p>
          <w:p w14:paraId="0BB090AE">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第二款  用人单位未按前款规定提出工伤认定申请的，工伤职工或者其近亲属、工会组织在事故伤害发生之日或者被诊断、鉴定为职业病之日起1年内，可以直接向用人单位所在地统筹地区社会保险行政部门提出工伤认定申请。</w:t>
            </w:r>
          </w:p>
          <w:p w14:paraId="62717683">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【地方性法规】《广西壮族自治区实施〈工伤保险条例〉办法》（广西壮族自治区人民政府令第117号）第十四条第三款规定： 用人单位遇有特殊情况，暂时不能按照规定时限提出工伤认定申请的，经报社会保险行政部门同意，申请时限可以适当延长，但最长不能超过60日。</w:t>
            </w:r>
          </w:p>
        </w:tc>
        <w:tc>
          <w:tcPr>
            <w:tcW w:w="616" w:type="dxa"/>
            <w:shd w:val="clear" w:color="auto" w:fill="auto"/>
            <w:vAlign w:val="center"/>
          </w:tcPr>
          <w:p w14:paraId="4ADBBF52">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6FF64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vMerge w:val="continue"/>
            <w:vAlign w:val="center"/>
          </w:tcPr>
          <w:p w14:paraId="3529BEAC">
            <w:pPr>
              <w:widowControl/>
              <w:adjustRightInd w:val="0"/>
              <w:snapToGrid w:val="0"/>
              <w:spacing w:line="140" w:lineRule="exact"/>
              <w:rPr>
                <w:rFonts w:eastAsia="方正书宋_GBK"/>
                <w:snapToGrid w:val="0"/>
                <w:sz w:val="11"/>
                <w:szCs w:val="11"/>
              </w:rPr>
            </w:pPr>
          </w:p>
        </w:tc>
        <w:tc>
          <w:tcPr>
            <w:tcW w:w="1554" w:type="dxa"/>
            <w:vMerge w:val="continue"/>
            <w:vAlign w:val="center"/>
          </w:tcPr>
          <w:p w14:paraId="711A32FC">
            <w:pPr>
              <w:widowControl/>
              <w:adjustRightInd w:val="0"/>
              <w:snapToGrid w:val="0"/>
              <w:spacing w:line="140" w:lineRule="exact"/>
              <w:rPr>
                <w:rFonts w:eastAsia="方正书宋_GBK"/>
                <w:snapToGrid w:val="0"/>
                <w:sz w:val="11"/>
                <w:szCs w:val="11"/>
              </w:rPr>
            </w:pPr>
          </w:p>
        </w:tc>
        <w:tc>
          <w:tcPr>
            <w:tcW w:w="589" w:type="dxa"/>
            <w:shd w:val="clear" w:color="auto" w:fill="auto"/>
            <w:vAlign w:val="center"/>
          </w:tcPr>
          <w:p w14:paraId="47345C45">
            <w:pPr>
              <w:widowControl/>
              <w:adjustRightInd w:val="0"/>
              <w:snapToGrid w:val="0"/>
              <w:spacing w:line="140" w:lineRule="exact"/>
              <w:rPr>
                <w:rFonts w:eastAsia="方正书宋_GBK"/>
                <w:snapToGrid w:val="0"/>
                <w:sz w:val="11"/>
                <w:szCs w:val="11"/>
              </w:rPr>
            </w:pPr>
            <w:r>
              <w:rPr>
                <w:rFonts w:eastAsia="方正书宋_GBK"/>
                <w:snapToGrid w:val="0"/>
                <w:sz w:val="11"/>
                <w:szCs w:val="11"/>
              </w:rPr>
              <w:t>同意延长工伤认定申请时限</w:t>
            </w:r>
          </w:p>
        </w:tc>
        <w:tc>
          <w:tcPr>
            <w:tcW w:w="782" w:type="dxa"/>
            <w:shd w:val="clear" w:color="auto" w:fill="auto"/>
            <w:vAlign w:val="center"/>
          </w:tcPr>
          <w:p w14:paraId="01F53BCD">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32A0C688">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【行政法规】《工伤保险条例》（2003年4月27日中华人民共和国国务院令第375号公布，自2004年1月1日起施行，2010年12月20日修订）第十七条第一款  职工发生事故伤害或者按照职业病防治法规定被诊断、鉴定为职业病，所在单位应当自事故伤害发生之日或者被诊断、鉴定为职业病之日起30日内，向统筹地区社会保险行政部门提出工伤认定申请。</w:t>
            </w:r>
          </w:p>
          <w:p w14:paraId="26734CF3">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第二款  用人单位未按前款规定提出工伤认定申请的，工伤职工或者其近亲属、工会组织在事故伤害发生之日或者被诊断、鉴定为职业病之日起1年内，可以直接向用人单位所在地统筹地区社会保险行政部门提出工伤认定申请。</w:t>
            </w:r>
          </w:p>
          <w:p w14:paraId="384DDB7E">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【地方性法规】《广西壮族自治区实施〈工伤保险条例〉办法》（广西壮族自治区人民政府令第117号）第十四条第三款规定： 用人单位遇有特殊情况，暂时不能按照规定时限提出工伤认定申请的，经报社会保险行政部门同意，申请时限可以适当延长，但最长不能超过60日。</w:t>
            </w:r>
          </w:p>
        </w:tc>
        <w:tc>
          <w:tcPr>
            <w:tcW w:w="616" w:type="dxa"/>
            <w:shd w:val="clear" w:color="auto" w:fill="auto"/>
            <w:vAlign w:val="center"/>
          </w:tcPr>
          <w:p w14:paraId="07776864">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EC5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vAlign w:val="center"/>
          </w:tcPr>
          <w:p w14:paraId="036FB0B3">
            <w:pPr>
              <w:widowControl/>
              <w:adjustRightInd w:val="0"/>
              <w:snapToGrid w:val="0"/>
              <w:spacing w:line="140" w:lineRule="exact"/>
              <w:rPr>
                <w:rFonts w:eastAsia="方正书宋_GBK"/>
                <w:snapToGrid w:val="0"/>
                <w:sz w:val="11"/>
                <w:szCs w:val="11"/>
              </w:rPr>
            </w:pPr>
            <w:r>
              <w:rPr>
                <w:rFonts w:eastAsia="方正书宋_GBK"/>
                <w:snapToGrid w:val="0"/>
                <w:sz w:val="11"/>
                <w:szCs w:val="11"/>
              </w:rPr>
              <w:t>行政奖励</w:t>
            </w:r>
          </w:p>
        </w:tc>
        <w:tc>
          <w:tcPr>
            <w:tcW w:w="1554" w:type="dxa"/>
            <w:shd w:val="clear" w:color="auto" w:fill="auto"/>
            <w:vAlign w:val="center"/>
          </w:tcPr>
          <w:p w14:paraId="72066BD3">
            <w:pPr>
              <w:widowControl/>
              <w:adjustRightInd w:val="0"/>
              <w:snapToGrid w:val="0"/>
              <w:spacing w:line="140" w:lineRule="exact"/>
              <w:rPr>
                <w:rFonts w:eastAsia="方正书宋_GBK"/>
                <w:snapToGrid w:val="0"/>
                <w:sz w:val="11"/>
                <w:szCs w:val="11"/>
              </w:rPr>
            </w:pPr>
            <w:r>
              <w:rPr>
                <w:rFonts w:eastAsia="方正书宋_GBK"/>
                <w:snapToGrid w:val="0"/>
                <w:sz w:val="11"/>
                <w:szCs w:val="11"/>
              </w:rPr>
              <w:t>对举报违反劳动保障法律、法规或者规章行为有功的组织或者个人给予奖励</w:t>
            </w:r>
          </w:p>
        </w:tc>
        <w:tc>
          <w:tcPr>
            <w:tcW w:w="589" w:type="dxa"/>
            <w:shd w:val="clear" w:color="auto" w:fill="auto"/>
            <w:vAlign w:val="center"/>
          </w:tcPr>
          <w:p w14:paraId="3A006B13">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0E0BFE2F">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73C0B20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【法律】《中华人民共和国劳动合同法》（2007年6月29日中华人民共和国主席令第65号公布，自2008年1月1日起施行，2012年12月28日修订）第七十九条  任何组织或者个人对违反本法的行为都有权举报，县级以上人民政府劳动行政部门应当及时核实、处理，并对举报有功人员给予奖励。</w:t>
            </w:r>
          </w:p>
          <w:p w14:paraId="46B2BFE7">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【行政法规】《劳动保障监察条例》（2004年11月1日中华人民共和国国务院令第423号公布，自2004年12月1日起施行）第九条  任何组织或者个人对违反劳动保障法律、法规或者规章的行为，有权向劳动保障行政部门举报。劳动者认为用人单位侵犯其劳动保障合法权益的，有权向劳动保障行政部门投诉。劳动保障行政部门应当为举报人保密；对举报属实，为查处重大违反劳动保障法律、法规或者规章的行为提供主要线索和证据的举报人，给予奖励。</w:t>
            </w:r>
          </w:p>
          <w:p w14:paraId="34D8AEA9">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【部门规章】《关于实施&lt;劳动保障监察条例&gt;若干规定》（2004年12月31日中华人民共和国劳动和社会保障部令第25号公布，自2005年2月1日起施行）第十一条  劳动保障行政部门对举报人反映的违反劳动保障法律的行为应当依法予以查处，并为举报人保密；对举报属实，为查处重大违反劳动保障法律的行为提供主要线索和证据的举报人，给予奖励。</w:t>
            </w:r>
          </w:p>
        </w:tc>
        <w:tc>
          <w:tcPr>
            <w:tcW w:w="616" w:type="dxa"/>
            <w:shd w:val="clear" w:color="auto" w:fill="auto"/>
            <w:vAlign w:val="center"/>
          </w:tcPr>
          <w:p w14:paraId="312EC366">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0560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vAlign w:val="center"/>
          </w:tcPr>
          <w:p w14:paraId="738CE7EB">
            <w:pPr>
              <w:widowControl/>
              <w:adjustRightInd w:val="0"/>
              <w:snapToGrid w:val="0"/>
              <w:spacing w:line="140" w:lineRule="exact"/>
              <w:rPr>
                <w:rFonts w:eastAsia="方正书宋_GBK"/>
                <w:snapToGrid w:val="0"/>
                <w:sz w:val="11"/>
                <w:szCs w:val="11"/>
              </w:rPr>
            </w:pPr>
            <w:r>
              <w:rPr>
                <w:rFonts w:eastAsia="方正书宋_GBK"/>
                <w:snapToGrid w:val="0"/>
                <w:sz w:val="11"/>
                <w:szCs w:val="11"/>
              </w:rPr>
              <w:t>其他行政权力</w:t>
            </w:r>
          </w:p>
        </w:tc>
        <w:tc>
          <w:tcPr>
            <w:tcW w:w="1554" w:type="dxa"/>
            <w:shd w:val="clear" w:color="auto" w:fill="auto"/>
            <w:vAlign w:val="center"/>
          </w:tcPr>
          <w:p w14:paraId="6B10318F">
            <w:pPr>
              <w:widowControl/>
              <w:adjustRightInd w:val="0"/>
              <w:snapToGrid w:val="0"/>
              <w:spacing w:line="140" w:lineRule="exact"/>
              <w:rPr>
                <w:rFonts w:eastAsia="方正书宋_GBK"/>
                <w:snapToGrid w:val="0"/>
                <w:sz w:val="11"/>
                <w:szCs w:val="11"/>
              </w:rPr>
            </w:pPr>
            <w:r>
              <w:rPr>
                <w:rFonts w:eastAsia="方正书宋_GBK"/>
                <w:snapToGrid w:val="0"/>
                <w:sz w:val="11"/>
                <w:szCs w:val="11"/>
              </w:rPr>
              <w:t>73.国（境）外人员入境就业</w:t>
            </w:r>
          </w:p>
        </w:tc>
        <w:tc>
          <w:tcPr>
            <w:tcW w:w="589" w:type="dxa"/>
            <w:shd w:val="clear" w:color="auto" w:fill="auto"/>
            <w:vAlign w:val="center"/>
          </w:tcPr>
          <w:p w14:paraId="5AE81313">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7B7B8780">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0C2AAEB8">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【法律】《中华人民共和国出境入境管理法》第四十一条：外国人在中国境内工作，应当按照规定取得工作许可和工作类居留证件。任何单位和个人不得聘用未取得工作许可和工作类居留证件的外国人……。</w:t>
            </w:r>
          </w:p>
          <w:p w14:paraId="4BCF9B23">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【法规】《国务院对确需保留的行政审批项目设定行政许可的决定》（中华人民共和国国务院令第412号，2009年1月29日修订）93.外国人入境就业许可；94.台港澳人员在内地就业许可。</w:t>
            </w:r>
          </w:p>
          <w:p w14:paraId="533C7EA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【规章】《就业服务与就业管理规定》（中华人民共和国劳动和社会保障部令第28号，2014年、2015年分别修订）第二十二条：  用人单位招用台港澳人员后，应当按有关规定到当地劳动保障行政部门备案……第二十三条：用人单位招用外国人，应当在外国人入境前，按有关规定到当地劳动保障行政部门为其申请就业许可，经批准并获得《中华人民共和国外国人就业许可证书》后方可招用。用人单位招用外国人的岗位必须是有特殊技能要求、国内暂无适当人选的岗位，并且不违反国家有关规定。</w:t>
            </w:r>
          </w:p>
          <w:p w14:paraId="30619534">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【规章】《外国人在中国就业管理规定》（劳部发〔1996〕29号，中华人民共和国人力资源和社会保障部令第7号修订）第五条：  用人单位聘用外国人须为该外国人申请就业许可，经获准并取得《中华人民共和国外国人就业许可证书》后方可聘用。</w:t>
            </w:r>
          </w:p>
          <w:p w14:paraId="3ADA8F1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规范性文件】《关于全面实施外国人来华工作许可制度的通知》（外专发〔2017〕40号）三、主要任务：（一）全面实施外国人来华工作许可制度。实行来华工作外国人统一管理，简化申请材料，优化审批流程，规范申请标准，完善高效合理、科学反映市场需求的外国人来华工作分类标准（见附件），为外国高端人才来华工作、创新创业开辟“绿色通道”，提高服务保障水平。</w:t>
            </w:r>
          </w:p>
          <w:p w14:paraId="5C1D139D">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规范性文件】《关于允许优秀外籍高校毕业生在华就业有关事项的通知》（人社部发〔2017〕3号）三、办理程序：……人力资源社会保障部门或外国专家归口管理部门按规定进行审批。对符合条件的外国留学生发放外国人就业许可证书（或工作许可）和外国人就业证（或工作证）。对符合条件的境外高校外籍毕业生发放外国人就业许可证书。取得外国人就业许可证书的海外高校外籍毕业生，应按规定办理Z字签证，入境后办理外国人就业证。</w:t>
            </w:r>
          </w:p>
        </w:tc>
        <w:tc>
          <w:tcPr>
            <w:tcW w:w="616" w:type="dxa"/>
            <w:shd w:val="clear" w:color="auto" w:fill="auto"/>
            <w:vAlign w:val="center"/>
          </w:tcPr>
          <w:p w14:paraId="747C80C8">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56FE3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vAlign w:val="center"/>
          </w:tcPr>
          <w:p w14:paraId="319CC6EC">
            <w:pPr>
              <w:widowControl/>
              <w:adjustRightInd w:val="0"/>
              <w:snapToGrid w:val="0"/>
              <w:spacing w:line="140" w:lineRule="exact"/>
              <w:rPr>
                <w:rFonts w:eastAsia="方正书宋_GBK"/>
                <w:snapToGrid w:val="0"/>
                <w:sz w:val="11"/>
                <w:szCs w:val="11"/>
              </w:rPr>
            </w:pPr>
            <w:r>
              <w:rPr>
                <w:rFonts w:eastAsia="方正书宋_GBK"/>
                <w:snapToGrid w:val="0"/>
                <w:sz w:val="11"/>
                <w:szCs w:val="11"/>
              </w:rPr>
              <w:t>其他行政权力</w:t>
            </w:r>
          </w:p>
        </w:tc>
        <w:tc>
          <w:tcPr>
            <w:tcW w:w="1554" w:type="dxa"/>
            <w:shd w:val="clear" w:color="auto" w:fill="auto"/>
            <w:vAlign w:val="center"/>
          </w:tcPr>
          <w:p w14:paraId="29AB96AA">
            <w:pPr>
              <w:widowControl/>
              <w:adjustRightInd w:val="0"/>
              <w:snapToGrid w:val="0"/>
              <w:spacing w:line="140" w:lineRule="exact"/>
              <w:rPr>
                <w:rFonts w:eastAsia="方正书宋_GBK"/>
                <w:snapToGrid w:val="0"/>
                <w:sz w:val="11"/>
                <w:szCs w:val="11"/>
              </w:rPr>
            </w:pPr>
            <w:r>
              <w:rPr>
                <w:rFonts w:eastAsia="方正书宋_GBK"/>
                <w:snapToGrid w:val="0"/>
                <w:sz w:val="11"/>
                <w:szCs w:val="11"/>
              </w:rPr>
              <w:t>录用未成年工登记备案</w:t>
            </w:r>
          </w:p>
        </w:tc>
        <w:tc>
          <w:tcPr>
            <w:tcW w:w="589" w:type="dxa"/>
            <w:shd w:val="clear" w:color="auto" w:fill="auto"/>
            <w:vAlign w:val="center"/>
          </w:tcPr>
          <w:p w14:paraId="4FB10253">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311B3EF6">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0D960B7D">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法》（1994年7月5日主席令第28号，《全国人民代表大会常委会关于修改&lt;中华人民共和国劳动法&gt;等七部法律的决定》（2018年12月29日中华人民共和国主席令第二十四号）第十五条第二款“文艺、体育和特种工艺单位招用未满十六周岁的未成年人，必须依照国家有关规定，并保障其接受义务教育的权利。”</w:t>
            </w:r>
          </w:p>
          <w:p w14:paraId="473D25D6">
            <w:pPr>
              <w:widowControl/>
              <w:adjustRightInd w:val="0"/>
              <w:snapToGrid w:val="0"/>
              <w:spacing w:line="140" w:lineRule="exact"/>
              <w:ind w:firstLine="220" w:firstLineChars="200"/>
              <w:rPr>
                <w:rFonts w:eastAsia="方正书宋_GBK"/>
                <w:snapToGrid w:val="0"/>
                <w:sz w:val="11"/>
                <w:szCs w:val="11"/>
              </w:rPr>
            </w:pPr>
          </w:p>
        </w:tc>
        <w:tc>
          <w:tcPr>
            <w:tcW w:w="616" w:type="dxa"/>
            <w:shd w:val="clear" w:color="auto" w:fill="auto"/>
            <w:vAlign w:val="center"/>
          </w:tcPr>
          <w:p w14:paraId="272CC83F">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60973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vAlign w:val="center"/>
          </w:tcPr>
          <w:p w14:paraId="4F65674D">
            <w:pPr>
              <w:widowControl/>
              <w:adjustRightInd w:val="0"/>
              <w:snapToGrid w:val="0"/>
              <w:spacing w:line="140" w:lineRule="exact"/>
              <w:rPr>
                <w:rFonts w:eastAsia="方正书宋_GBK"/>
                <w:snapToGrid w:val="0"/>
                <w:sz w:val="11"/>
                <w:szCs w:val="11"/>
              </w:rPr>
            </w:pPr>
            <w:r>
              <w:rPr>
                <w:rFonts w:eastAsia="方正书宋_GBK"/>
                <w:snapToGrid w:val="0"/>
                <w:sz w:val="11"/>
                <w:szCs w:val="11"/>
              </w:rPr>
              <w:t>其他行政权力</w:t>
            </w:r>
          </w:p>
        </w:tc>
        <w:tc>
          <w:tcPr>
            <w:tcW w:w="1554" w:type="dxa"/>
            <w:shd w:val="clear" w:color="auto" w:fill="auto"/>
            <w:vAlign w:val="center"/>
          </w:tcPr>
          <w:p w14:paraId="346AF92C">
            <w:pPr>
              <w:widowControl/>
              <w:adjustRightInd w:val="0"/>
              <w:snapToGrid w:val="0"/>
              <w:spacing w:line="140" w:lineRule="exact"/>
              <w:rPr>
                <w:rFonts w:eastAsia="方正书宋_GBK"/>
                <w:snapToGrid w:val="0"/>
                <w:sz w:val="11"/>
                <w:szCs w:val="11"/>
              </w:rPr>
            </w:pPr>
            <w:r>
              <w:rPr>
                <w:rFonts w:eastAsia="方正书宋_GBK"/>
                <w:snapToGrid w:val="0"/>
                <w:sz w:val="11"/>
                <w:szCs w:val="11"/>
              </w:rPr>
              <w:t>集体合同备案</w:t>
            </w:r>
          </w:p>
        </w:tc>
        <w:tc>
          <w:tcPr>
            <w:tcW w:w="589" w:type="dxa"/>
            <w:shd w:val="clear" w:color="auto" w:fill="auto"/>
            <w:vAlign w:val="center"/>
          </w:tcPr>
          <w:p w14:paraId="0F20CD1F">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234D9CC8">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auto"/>
            <w:vAlign w:val="center"/>
          </w:tcPr>
          <w:p w14:paraId="18F98F1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【法律】《中华人民共和国劳动法》（1994年7月5日中华人民共和国主席令第28号公布，1995年1月1日起施行）第三十四条  集体合同签订后应当报送劳动行政部门；劳动行政部门自收到集体合同文本之日起十五日内未提出异议的，集体合同即行生效。</w:t>
            </w:r>
          </w:p>
          <w:p w14:paraId="0B1DE3A4">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【部门规章】《集体合同规定》（2004年1月20日中华人民共和国劳动和社会保障部令第22号公布，自2004年5月1日起施行）第四十二条 集体合同或专项集体合同签订或变更后，应当自双方首席代表签字之日起10日内，由用人单位一方将文本一式三份报送劳动保障行政部门审查。</w:t>
            </w:r>
          </w:p>
        </w:tc>
        <w:tc>
          <w:tcPr>
            <w:tcW w:w="616" w:type="dxa"/>
            <w:shd w:val="clear" w:color="auto" w:fill="auto"/>
            <w:vAlign w:val="center"/>
          </w:tcPr>
          <w:p w14:paraId="44E5CA9A">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26B2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vAlign w:val="center"/>
          </w:tcPr>
          <w:p w14:paraId="188B8644">
            <w:pPr>
              <w:widowControl/>
              <w:adjustRightInd w:val="0"/>
              <w:snapToGrid w:val="0"/>
              <w:spacing w:line="140" w:lineRule="exact"/>
              <w:rPr>
                <w:rFonts w:eastAsia="方正书宋_GBK"/>
                <w:snapToGrid w:val="0"/>
                <w:sz w:val="11"/>
                <w:szCs w:val="11"/>
              </w:rPr>
            </w:pPr>
            <w:r>
              <w:rPr>
                <w:rFonts w:eastAsia="方正书宋_GBK"/>
                <w:snapToGrid w:val="0"/>
                <w:sz w:val="11"/>
                <w:szCs w:val="11"/>
              </w:rPr>
              <w:t>其他行政权力</w:t>
            </w:r>
          </w:p>
        </w:tc>
        <w:tc>
          <w:tcPr>
            <w:tcW w:w="1554" w:type="dxa"/>
            <w:shd w:val="clear" w:color="auto" w:fill="FFFFFF"/>
            <w:vAlign w:val="center"/>
          </w:tcPr>
          <w:p w14:paraId="6E7EC07E">
            <w:pPr>
              <w:widowControl/>
              <w:adjustRightInd w:val="0"/>
              <w:snapToGrid w:val="0"/>
              <w:spacing w:line="140" w:lineRule="exact"/>
              <w:rPr>
                <w:rFonts w:eastAsia="方正书宋_GBK"/>
                <w:snapToGrid w:val="0"/>
                <w:sz w:val="11"/>
                <w:szCs w:val="11"/>
              </w:rPr>
            </w:pPr>
            <w:r>
              <w:rPr>
                <w:rFonts w:eastAsia="方正书宋_GBK"/>
                <w:snapToGrid w:val="0"/>
                <w:sz w:val="11"/>
                <w:szCs w:val="11"/>
              </w:rPr>
              <w:t>经济性裁员报告</w:t>
            </w:r>
          </w:p>
        </w:tc>
        <w:tc>
          <w:tcPr>
            <w:tcW w:w="589" w:type="dxa"/>
            <w:shd w:val="clear" w:color="auto" w:fill="auto"/>
            <w:vAlign w:val="center"/>
          </w:tcPr>
          <w:p w14:paraId="637814A4">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vAlign w:val="center"/>
          </w:tcPr>
          <w:p w14:paraId="79A8EF6C">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FFFFFF"/>
            <w:vAlign w:val="center"/>
          </w:tcPr>
          <w:p w14:paraId="1E32142C">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【法律】《中华人民共和国劳动合同法》（2007年6月29日中华人民共和国主席令第65号公布，自2008年1月1日起施行，2012年12月28日修改）第四十一条  有下列情形之一，需要裁减人员二十人以上或者裁减不足二十人但占企业职工总数百分之十以上的，用人单位提前三十日向工会或者全体职工说明情况，听取工会或者职工的意见后，裁减人员方案经向劳动行政部门报告，可以裁减人员……</w:t>
            </w:r>
          </w:p>
        </w:tc>
        <w:tc>
          <w:tcPr>
            <w:tcW w:w="616" w:type="dxa"/>
            <w:shd w:val="clear" w:color="auto" w:fill="auto"/>
            <w:vAlign w:val="center"/>
          </w:tcPr>
          <w:p w14:paraId="493E9DD0">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588E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tcMar>
              <w:top w:w="193" w:type="dxa"/>
              <w:bottom w:w="193" w:type="dxa"/>
            </w:tcMar>
            <w:vAlign w:val="center"/>
          </w:tcPr>
          <w:p w14:paraId="6495554E">
            <w:pPr>
              <w:widowControl/>
              <w:adjustRightInd w:val="0"/>
              <w:snapToGrid w:val="0"/>
              <w:spacing w:line="140" w:lineRule="exact"/>
              <w:rPr>
                <w:rFonts w:eastAsia="方正书宋_GBK"/>
                <w:snapToGrid w:val="0"/>
                <w:sz w:val="11"/>
                <w:szCs w:val="11"/>
              </w:rPr>
            </w:pPr>
            <w:r>
              <w:rPr>
                <w:rFonts w:eastAsia="方正书宋_GBK"/>
                <w:snapToGrid w:val="0"/>
                <w:sz w:val="11"/>
                <w:szCs w:val="11"/>
              </w:rPr>
              <w:t>其他行政权力</w:t>
            </w:r>
          </w:p>
        </w:tc>
        <w:tc>
          <w:tcPr>
            <w:tcW w:w="1554" w:type="dxa"/>
            <w:shd w:val="clear" w:color="auto" w:fill="FFFFFF"/>
            <w:tcMar>
              <w:top w:w="193" w:type="dxa"/>
              <w:bottom w:w="193" w:type="dxa"/>
            </w:tcMar>
            <w:vAlign w:val="center"/>
          </w:tcPr>
          <w:p w14:paraId="0B821FC6">
            <w:pPr>
              <w:widowControl/>
              <w:adjustRightInd w:val="0"/>
              <w:snapToGrid w:val="0"/>
              <w:spacing w:line="140" w:lineRule="exact"/>
              <w:rPr>
                <w:rFonts w:eastAsia="方正书宋_GBK"/>
                <w:snapToGrid w:val="0"/>
                <w:sz w:val="11"/>
                <w:szCs w:val="11"/>
              </w:rPr>
            </w:pPr>
            <w:r>
              <w:rPr>
                <w:rFonts w:eastAsia="方正书宋_GBK"/>
                <w:snapToGrid w:val="0"/>
                <w:sz w:val="11"/>
                <w:szCs w:val="11"/>
              </w:rPr>
              <w:t>社会保险登记（含变更、注销）</w:t>
            </w:r>
          </w:p>
        </w:tc>
        <w:tc>
          <w:tcPr>
            <w:tcW w:w="589" w:type="dxa"/>
            <w:shd w:val="clear" w:color="auto" w:fill="auto"/>
            <w:tcMar>
              <w:top w:w="193" w:type="dxa"/>
              <w:bottom w:w="193" w:type="dxa"/>
            </w:tcMar>
            <w:vAlign w:val="center"/>
          </w:tcPr>
          <w:p w14:paraId="462B186B">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tcMar>
              <w:top w:w="193" w:type="dxa"/>
              <w:bottom w:w="193" w:type="dxa"/>
            </w:tcMar>
            <w:vAlign w:val="center"/>
          </w:tcPr>
          <w:p w14:paraId="691BED2D">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FFFFFF"/>
            <w:tcMar>
              <w:top w:w="193" w:type="dxa"/>
              <w:bottom w:w="193" w:type="dxa"/>
            </w:tcMar>
            <w:vAlign w:val="center"/>
          </w:tcPr>
          <w:p w14:paraId="7E038C7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【法律】《中华人民共和国社会保险法》（2010年10月28日中华人民共和国主席令第35号公布，自2011年7月1日起施行）第八条  社会保险经办机构提供社会保险服务，负责社会保险登记、个人权益记录、社会保险待遇支付等工作。第五十七条第一款第二款  用人单位应当自成立之日起三十日内凭营业执照、登记证书或者单位印章，向当地社会保险经办机构申请办理社会保险登记。社会保险经办机构应当自收到申请之日起十五日内予以审核，发给社会保险登记证件。用人单位的社会保险登记事项发生变更或者用人单位依法终止的，应当自变更或者终止之日起三十日内，到社会保险经办机构办理变更或者注销社会保险登记。</w:t>
            </w:r>
          </w:p>
          <w:p w14:paraId="21785583">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【部门规章】《社会保险登记管理暂行办法》（1999年3月19日中华人民共和国劳动和社会保障部令第1号发布，自发布之日起施行）第三条  县级以上劳动保障行政部门的社会保险经办机构（以下简称社会保险经办机构）主管社会保险登记。</w:t>
            </w:r>
          </w:p>
        </w:tc>
        <w:tc>
          <w:tcPr>
            <w:tcW w:w="616" w:type="dxa"/>
            <w:shd w:val="clear" w:color="auto" w:fill="auto"/>
            <w:tcMar>
              <w:top w:w="193" w:type="dxa"/>
              <w:bottom w:w="193" w:type="dxa"/>
            </w:tcMar>
            <w:vAlign w:val="center"/>
          </w:tcPr>
          <w:p w14:paraId="1CE78206">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2F9FA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tcMar>
              <w:top w:w="193" w:type="dxa"/>
              <w:bottom w:w="193" w:type="dxa"/>
            </w:tcMar>
            <w:vAlign w:val="center"/>
          </w:tcPr>
          <w:p w14:paraId="3AF9D291">
            <w:pPr>
              <w:widowControl/>
              <w:adjustRightInd w:val="0"/>
              <w:snapToGrid w:val="0"/>
              <w:spacing w:line="140" w:lineRule="exact"/>
              <w:rPr>
                <w:rFonts w:eastAsia="方正书宋_GBK"/>
                <w:snapToGrid w:val="0"/>
                <w:sz w:val="11"/>
                <w:szCs w:val="11"/>
              </w:rPr>
            </w:pPr>
            <w:r>
              <w:rPr>
                <w:rFonts w:eastAsia="方正书宋_GBK"/>
                <w:snapToGrid w:val="0"/>
                <w:sz w:val="11"/>
                <w:szCs w:val="11"/>
              </w:rPr>
              <w:t>其他行政权力</w:t>
            </w:r>
          </w:p>
        </w:tc>
        <w:tc>
          <w:tcPr>
            <w:tcW w:w="1554" w:type="dxa"/>
            <w:shd w:val="clear" w:color="auto" w:fill="FFFFFF"/>
            <w:tcMar>
              <w:top w:w="193" w:type="dxa"/>
              <w:bottom w:w="193" w:type="dxa"/>
            </w:tcMar>
            <w:vAlign w:val="center"/>
          </w:tcPr>
          <w:p w14:paraId="366396E2">
            <w:pPr>
              <w:widowControl/>
              <w:adjustRightInd w:val="0"/>
              <w:snapToGrid w:val="0"/>
              <w:spacing w:line="140" w:lineRule="exact"/>
              <w:rPr>
                <w:rFonts w:eastAsia="方正书宋_GBK"/>
                <w:snapToGrid w:val="0"/>
                <w:sz w:val="11"/>
                <w:szCs w:val="11"/>
              </w:rPr>
            </w:pPr>
            <w:r>
              <w:rPr>
                <w:rFonts w:eastAsia="方正书宋_GBK"/>
                <w:snapToGrid w:val="0"/>
                <w:sz w:val="11"/>
                <w:szCs w:val="11"/>
              </w:rPr>
              <w:t>78.工伤保险费率审定</w:t>
            </w:r>
          </w:p>
        </w:tc>
        <w:tc>
          <w:tcPr>
            <w:tcW w:w="589" w:type="dxa"/>
            <w:shd w:val="clear" w:color="auto" w:fill="auto"/>
            <w:tcMar>
              <w:top w:w="193" w:type="dxa"/>
              <w:bottom w:w="193" w:type="dxa"/>
            </w:tcMar>
            <w:vAlign w:val="center"/>
          </w:tcPr>
          <w:p w14:paraId="3571571B">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auto"/>
            <w:tcMar>
              <w:top w:w="193" w:type="dxa"/>
              <w:bottom w:w="193" w:type="dxa"/>
            </w:tcMar>
            <w:vAlign w:val="center"/>
          </w:tcPr>
          <w:p w14:paraId="4DED8320">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FFFFFF"/>
            <w:tcMar>
              <w:top w:w="193" w:type="dxa"/>
              <w:bottom w:w="193" w:type="dxa"/>
            </w:tcMar>
            <w:vAlign w:val="center"/>
          </w:tcPr>
          <w:p w14:paraId="39ED29DE">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【法律】《中华人民共和国社会保险法》（2010年10月28日中华人民共和国主席令第35号公布，自2011年7月1日起施行）第三十四条  社会保险经办机构根据用人单位使用工伤保险基金、工伤发生率和所属行业费率档次等情况，确定用人单位缴费费率。</w:t>
            </w:r>
          </w:p>
          <w:p w14:paraId="2F8C0829">
            <w:pPr>
              <w:widowControl/>
              <w:adjustRightInd w:val="0"/>
              <w:snapToGrid w:val="0"/>
              <w:spacing w:line="140" w:lineRule="exact"/>
              <w:ind w:firstLine="220" w:firstLineChars="200"/>
              <w:rPr>
                <w:rFonts w:eastAsia="方正书宋_GBK"/>
                <w:snapToGrid w:val="0"/>
                <w:sz w:val="11"/>
                <w:szCs w:val="11"/>
              </w:rPr>
            </w:pPr>
          </w:p>
        </w:tc>
        <w:tc>
          <w:tcPr>
            <w:tcW w:w="616" w:type="dxa"/>
            <w:shd w:val="clear" w:color="auto" w:fill="auto"/>
            <w:tcMar>
              <w:top w:w="193" w:type="dxa"/>
              <w:bottom w:w="193" w:type="dxa"/>
            </w:tcMar>
            <w:vAlign w:val="center"/>
          </w:tcPr>
          <w:p w14:paraId="5D7E90A3">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6E8F9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tcMar>
              <w:top w:w="193" w:type="dxa"/>
              <w:bottom w:w="193" w:type="dxa"/>
            </w:tcMar>
            <w:vAlign w:val="center"/>
          </w:tcPr>
          <w:p w14:paraId="2F38A248">
            <w:pPr>
              <w:widowControl/>
              <w:adjustRightInd w:val="0"/>
              <w:snapToGrid w:val="0"/>
              <w:spacing w:line="140" w:lineRule="exact"/>
              <w:rPr>
                <w:rFonts w:eastAsia="方正书宋_GBK"/>
                <w:snapToGrid w:val="0"/>
                <w:sz w:val="11"/>
                <w:szCs w:val="11"/>
              </w:rPr>
            </w:pPr>
            <w:r>
              <w:rPr>
                <w:rFonts w:eastAsia="方正书宋_GBK"/>
                <w:snapToGrid w:val="0"/>
                <w:sz w:val="11"/>
                <w:szCs w:val="11"/>
              </w:rPr>
              <w:t>其他行政权力</w:t>
            </w:r>
          </w:p>
        </w:tc>
        <w:tc>
          <w:tcPr>
            <w:tcW w:w="1554" w:type="dxa"/>
            <w:shd w:val="clear" w:color="auto" w:fill="FFFFFF"/>
            <w:tcMar>
              <w:top w:w="193" w:type="dxa"/>
              <w:bottom w:w="193" w:type="dxa"/>
            </w:tcMar>
            <w:vAlign w:val="center"/>
          </w:tcPr>
          <w:p w14:paraId="2E320ED9">
            <w:pPr>
              <w:widowControl/>
              <w:adjustRightInd w:val="0"/>
              <w:snapToGrid w:val="0"/>
              <w:spacing w:line="140" w:lineRule="exact"/>
              <w:rPr>
                <w:rFonts w:eastAsia="方正书宋_GBK"/>
                <w:snapToGrid w:val="0"/>
                <w:sz w:val="11"/>
                <w:szCs w:val="11"/>
              </w:rPr>
            </w:pPr>
            <w:r>
              <w:rPr>
                <w:rFonts w:eastAsia="方正书宋_GBK"/>
                <w:snapToGrid w:val="0"/>
                <w:sz w:val="11"/>
                <w:szCs w:val="11"/>
              </w:rPr>
              <w:t>失业人员职业培训补贴、职业介绍补贴审核</w:t>
            </w:r>
          </w:p>
        </w:tc>
        <w:tc>
          <w:tcPr>
            <w:tcW w:w="589" w:type="dxa"/>
            <w:shd w:val="clear" w:color="auto" w:fill="FFFFFF"/>
            <w:tcMar>
              <w:top w:w="193" w:type="dxa"/>
              <w:bottom w:w="193" w:type="dxa"/>
            </w:tcMar>
            <w:vAlign w:val="center"/>
          </w:tcPr>
          <w:p w14:paraId="790C87E2">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FFFFFF"/>
            <w:tcMar>
              <w:top w:w="193" w:type="dxa"/>
              <w:bottom w:w="193" w:type="dxa"/>
            </w:tcMar>
            <w:vAlign w:val="center"/>
          </w:tcPr>
          <w:p w14:paraId="32D165B5">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FFFFFF"/>
            <w:tcMar>
              <w:top w:w="193" w:type="dxa"/>
              <w:bottom w:w="193" w:type="dxa"/>
            </w:tcMar>
            <w:vAlign w:val="center"/>
          </w:tcPr>
          <w:p w14:paraId="6DBFD84E">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【法律】《中华人民共和国社会保险法》（2010年10月28日中华人民共和国主席令第35号公布，自2011年7月1日起施行）第七条  国务院社会保险行政部门负责全国的社会保险管理工作，国务院其他有关部门在各自的职责范围内负责有关的社会保险工作。县级以上地方人民政府社会保险行政部门负责本行政区域的社会保险管理工作，县级以上地方人民政府其他有关部门在各自的职责范围内负责有关的社会保险工作。第七十三条  社会保险经办机构应当按时足额支付社会保险待遇。</w:t>
            </w:r>
          </w:p>
          <w:p w14:paraId="534EC48B">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【行政法规】《失业保险条例》（1999年1月22日中华人民共和国国务院令第258号发布，自发布之日起施行）第三条  国务院劳动保障行政部门主管全国的失业保险工作。县级以上地方各级人民政府劳动保障行政部门主管本行政区域内的失业保险工作。劳动保障行政部门按照国务院规定设立的经办失业保险业务的社会保险经办机构依照本条例的规定，具体承办失业保险工作。</w:t>
            </w:r>
          </w:p>
          <w:p w14:paraId="10CDDB93">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第二十五条  社会保险经办机构具体承办失业保险工作，履行下列职责：（一）负责失业人员的登记、调查、统计；（二）按照规定负责失业保险基金的管理；（三）按照规定核定失业保险待遇，开具失业人员在指定银行领取失业保险金和其他补助金的单证；（四）拨付失业人员职业培训、职业介绍补贴费用；（五）为失业人员提供免费咨询服务；（六）国家规定由其履行的其他职责。</w:t>
            </w:r>
          </w:p>
          <w:p w14:paraId="148C62AC">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【地方政府规章】《广西壮族自治区失业保险办法》（2004年1月17日广西壮族自治区人民政府令第5号发布，自2004年3月1日起施行）第三条  自治区劳动和社会保障行政部门主管全自治区的失业保险工作。县级以上劳动保障行政部门主管本辖区内的失业保险工作。按照国家和自治区规定设立的失业保险经办机构，依照法律、法规和本办法的规定具体承办失业保险的各项业务工作。</w:t>
            </w:r>
          </w:p>
          <w:p w14:paraId="272F00E5">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第二十七条  失业保险经办机构具体承办失业保险的各项业务工作，应当履行下列职责：（一）负责失业人员的登记、管理、调查、统计；（二）按照国家和自治区规定负责失业保险基金的管理；（三）按照国家和自治区规定核发失业保险金及其他失业保险待遇；（四）拨付失业人员职业培训、职业介绍补贴等就业服务补贴费用；（五）对失业人员提供免费咨询服务；（六）对失业保险费的征收和失业人员享受有关待遇情况进行稽核；（七）法律、法规规定由其履行的其他职责。</w:t>
            </w:r>
          </w:p>
        </w:tc>
        <w:tc>
          <w:tcPr>
            <w:tcW w:w="616" w:type="dxa"/>
            <w:tcBorders>
              <w:bottom w:val="single" w:color="auto" w:sz="4" w:space="0"/>
            </w:tcBorders>
            <w:shd w:val="clear" w:color="auto" w:fill="auto"/>
            <w:tcMar>
              <w:top w:w="193" w:type="dxa"/>
              <w:bottom w:w="193" w:type="dxa"/>
            </w:tcMar>
            <w:vAlign w:val="center"/>
          </w:tcPr>
          <w:p w14:paraId="2AC1B4D4">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62A16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70" w:hRule="atLeast"/>
          <w:jc w:val="center"/>
        </w:trPr>
        <w:tc>
          <w:tcPr>
            <w:tcW w:w="991" w:type="dxa"/>
            <w:vMerge w:val="restart"/>
            <w:shd w:val="clear" w:color="auto" w:fill="auto"/>
            <w:tcMar>
              <w:top w:w="193" w:type="dxa"/>
              <w:bottom w:w="193" w:type="dxa"/>
            </w:tcMar>
            <w:vAlign w:val="center"/>
          </w:tcPr>
          <w:p w14:paraId="156BA6DE">
            <w:pPr>
              <w:widowControl/>
              <w:adjustRightInd w:val="0"/>
              <w:snapToGrid w:val="0"/>
              <w:spacing w:line="140" w:lineRule="exact"/>
              <w:rPr>
                <w:rFonts w:eastAsia="方正书宋_GBK"/>
                <w:snapToGrid w:val="0"/>
                <w:sz w:val="11"/>
                <w:szCs w:val="11"/>
              </w:rPr>
            </w:pPr>
            <w:r>
              <w:rPr>
                <w:rFonts w:eastAsia="方正书宋_GBK"/>
                <w:snapToGrid w:val="0"/>
                <w:sz w:val="11"/>
                <w:szCs w:val="11"/>
              </w:rPr>
              <w:t>其他行政权力</w:t>
            </w:r>
          </w:p>
        </w:tc>
        <w:tc>
          <w:tcPr>
            <w:tcW w:w="1554" w:type="dxa"/>
            <w:vMerge w:val="restart"/>
            <w:shd w:val="clear" w:color="auto" w:fill="FFFFFF"/>
            <w:tcMar>
              <w:top w:w="193" w:type="dxa"/>
              <w:bottom w:w="193" w:type="dxa"/>
            </w:tcMar>
            <w:vAlign w:val="center"/>
          </w:tcPr>
          <w:p w14:paraId="676FBCED">
            <w:pPr>
              <w:widowControl/>
              <w:adjustRightInd w:val="0"/>
              <w:snapToGrid w:val="0"/>
              <w:spacing w:line="140" w:lineRule="exact"/>
              <w:rPr>
                <w:rFonts w:eastAsia="方正书宋_GBK"/>
                <w:snapToGrid w:val="0"/>
                <w:sz w:val="11"/>
                <w:szCs w:val="11"/>
              </w:rPr>
            </w:pPr>
            <w:r>
              <w:rPr>
                <w:rFonts w:eastAsia="方正书宋_GBK"/>
                <w:snapToGrid w:val="0"/>
                <w:sz w:val="11"/>
                <w:szCs w:val="11"/>
              </w:rPr>
              <w:t>基本养老保险待遇审核</w:t>
            </w:r>
          </w:p>
        </w:tc>
        <w:tc>
          <w:tcPr>
            <w:tcW w:w="589" w:type="dxa"/>
            <w:shd w:val="clear" w:color="auto" w:fill="FFFFFF"/>
            <w:tcMar>
              <w:top w:w="193" w:type="dxa"/>
              <w:bottom w:w="193" w:type="dxa"/>
            </w:tcMar>
            <w:vAlign w:val="center"/>
          </w:tcPr>
          <w:p w14:paraId="7C69DD47">
            <w:pPr>
              <w:widowControl/>
              <w:adjustRightInd w:val="0"/>
              <w:snapToGrid w:val="0"/>
              <w:spacing w:line="140" w:lineRule="exact"/>
              <w:rPr>
                <w:rFonts w:eastAsia="方正书宋_GBK"/>
                <w:snapToGrid w:val="0"/>
                <w:sz w:val="11"/>
                <w:szCs w:val="11"/>
              </w:rPr>
            </w:pPr>
            <w:r>
              <w:rPr>
                <w:rFonts w:eastAsia="方正书宋_GBK"/>
                <w:snapToGrid w:val="0"/>
                <w:sz w:val="11"/>
                <w:szCs w:val="11"/>
              </w:rPr>
              <w:t>基本养老金核定</w:t>
            </w:r>
          </w:p>
        </w:tc>
        <w:tc>
          <w:tcPr>
            <w:tcW w:w="782" w:type="dxa"/>
            <w:shd w:val="clear" w:color="auto" w:fill="FFFFFF"/>
            <w:tcMar>
              <w:top w:w="193" w:type="dxa"/>
              <w:bottom w:w="193" w:type="dxa"/>
            </w:tcMar>
            <w:vAlign w:val="center"/>
          </w:tcPr>
          <w:p w14:paraId="6F5C6AFD">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vMerge w:val="restart"/>
            <w:tcBorders>
              <w:right w:val="single" w:color="auto" w:sz="4" w:space="0"/>
            </w:tcBorders>
            <w:shd w:val="clear" w:color="auto" w:fill="FFFFFF"/>
            <w:tcMar>
              <w:top w:w="193" w:type="dxa"/>
              <w:bottom w:w="193" w:type="dxa"/>
            </w:tcMar>
            <w:vAlign w:val="center"/>
          </w:tcPr>
          <w:p w14:paraId="52E8BD7E">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【法律】《中华人民共和国社会保险法》（2010年10月28日中华人民共和国主席令第35号公布，自2011年7月1日起施行）第七条  国务院社会保险行政部门负责全国的社会保险管理工作，国务院其他有关部门在各自的职责范围内负责有关的社会保险工作。县级以上地方人民政府社会保险行政部门负责本行政区域的社会保险管理工作，县级以上地方人民政府其他有关部门在各自的职责范围内负责有关的社会保险工作。</w:t>
            </w:r>
          </w:p>
          <w:p w14:paraId="272BFF6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第十四条  个人死亡的，个人账户余额可以继承。</w:t>
            </w:r>
          </w:p>
          <w:p w14:paraId="3AB518BB">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第十六条  参加基本养老保险的个人，达到法定退休年龄时累计缴费满十五年的，按月领取基本养老金。</w:t>
            </w:r>
          </w:p>
          <w:p w14:paraId="5ADEE723">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第十七条  参加基本养老保险的个人，因病或非因工死亡的，其遗属可以领取丧葬补助金和抚恤金。</w:t>
            </w:r>
          </w:p>
          <w:p w14:paraId="2088D850">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第七十三条  社会保险经办机构应当按时足额支付社会保险待遇。</w:t>
            </w:r>
          </w:p>
          <w:p w14:paraId="106CFE5F">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【规范性文件】《人力资源和社会保障部关于贯彻落实国务院办公厅转发城镇企业职工基本养老保险关系转移 接续暂行办法的通知》（人社部发〔2009〕187号）附件1第五点：对于参保人员出国定居或到香港、澳门、台湾地区定居的，应按国家有关规定办理终止基本养老保险关系手续，并全额退还个人账户储存额。</w:t>
            </w:r>
          </w:p>
        </w:tc>
        <w:tc>
          <w:tcPr>
            <w:tcW w:w="616" w:type="dxa"/>
            <w:tcBorders>
              <w:top w:val="single" w:color="auto" w:sz="4" w:space="0"/>
              <w:left w:val="single" w:color="auto" w:sz="4" w:space="0"/>
              <w:bottom w:val="single" w:color="auto" w:sz="4" w:space="0"/>
              <w:right w:val="single" w:color="auto" w:sz="4" w:space="0"/>
            </w:tcBorders>
            <w:shd w:val="clear" w:color="auto" w:fill="auto"/>
            <w:tcMar>
              <w:top w:w="193" w:type="dxa"/>
              <w:bottom w:w="193" w:type="dxa"/>
            </w:tcMar>
            <w:vAlign w:val="center"/>
          </w:tcPr>
          <w:p w14:paraId="7D642E19">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5294B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70" w:hRule="atLeast"/>
          <w:jc w:val="center"/>
        </w:trPr>
        <w:tc>
          <w:tcPr>
            <w:tcW w:w="991" w:type="dxa"/>
            <w:vMerge w:val="continue"/>
            <w:tcMar>
              <w:top w:w="193" w:type="dxa"/>
              <w:bottom w:w="193" w:type="dxa"/>
            </w:tcMar>
            <w:vAlign w:val="center"/>
          </w:tcPr>
          <w:p w14:paraId="71B12C6F">
            <w:pPr>
              <w:widowControl/>
              <w:adjustRightInd w:val="0"/>
              <w:snapToGrid w:val="0"/>
              <w:spacing w:line="140" w:lineRule="exact"/>
              <w:rPr>
                <w:rFonts w:eastAsia="方正书宋_GBK"/>
                <w:snapToGrid w:val="0"/>
                <w:sz w:val="11"/>
                <w:szCs w:val="11"/>
              </w:rPr>
            </w:pPr>
          </w:p>
        </w:tc>
        <w:tc>
          <w:tcPr>
            <w:tcW w:w="1554" w:type="dxa"/>
            <w:vMerge w:val="continue"/>
            <w:tcMar>
              <w:top w:w="193" w:type="dxa"/>
              <w:bottom w:w="193" w:type="dxa"/>
            </w:tcMar>
            <w:vAlign w:val="center"/>
          </w:tcPr>
          <w:p w14:paraId="1643EA25">
            <w:pPr>
              <w:widowControl/>
              <w:adjustRightInd w:val="0"/>
              <w:snapToGrid w:val="0"/>
              <w:spacing w:line="140" w:lineRule="exact"/>
              <w:rPr>
                <w:rFonts w:eastAsia="方正书宋_GBK"/>
                <w:snapToGrid w:val="0"/>
                <w:sz w:val="11"/>
                <w:szCs w:val="11"/>
              </w:rPr>
            </w:pPr>
          </w:p>
        </w:tc>
        <w:tc>
          <w:tcPr>
            <w:tcW w:w="589" w:type="dxa"/>
            <w:shd w:val="clear" w:color="auto" w:fill="FFFFFF"/>
            <w:tcMar>
              <w:top w:w="193" w:type="dxa"/>
              <w:bottom w:w="193" w:type="dxa"/>
            </w:tcMar>
            <w:vAlign w:val="center"/>
          </w:tcPr>
          <w:p w14:paraId="17FA8EDC">
            <w:pPr>
              <w:widowControl/>
              <w:adjustRightInd w:val="0"/>
              <w:snapToGrid w:val="0"/>
              <w:spacing w:line="140" w:lineRule="exact"/>
              <w:rPr>
                <w:rFonts w:eastAsia="方正书宋_GBK"/>
                <w:snapToGrid w:val="0"/>
                <w:sz w:val="11"/>
                <w:szCs w:val="11"/>
              </w:rPr>
            </w:pPr>
            <w:r>
              <w:rPr>
                <w:rFonts w:eastAsia="方正书宋_GBK"/>
                <w:snapToGrid w:val="0"/>
                <w:sz w:val="11"/>
                <w:szCs w:val="11"/>
              </w:rPr>
              <w:t>80.2离退休人员死亡待遇审核</w:t>
            </w:r>
          </w:p>
        </w:tc>
        <w:tc>
          <w:tcPr>
            <w:tcW w:w="782" w:type="dxa"/>
            <w:shd w:val="clear" w:color="auto" w:fill="FFFFFF"/>
            <w:tcMar>
              <w:top w:w="193" w:type="dxa"/>
              <w:bottom w:w="193" w:type="dxa"/>
            </w:tcMar>
            <w:vAlign w:val="center"/>
          </w:tcPr>
          <w:p w14:paraId="6F5BAE71">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vMerge w:val="continue"/>
            <w:tcMar>
              <w:top w:w="193" w:type="dxa"/>
              <w:bottom w:w="193" w:type="dxa"/>
            </w:tcMar>
            <w:vAlign w:val="center"/>
          </w:tcPr>
          <w:p w14:paraId="14B1F8A0">
            <w:pPr>
              <w:widowControl/>
              <w:adjustRightInd w:val="0"/>
              <w:snapToGrid w:val="0"/>
              <w:spacing w:line="140" w:lineRule="exact"/>
              <w:ind w:firstLine="220" w:firstLineChars="200"/>
              <w:rPr>
                <w:rFonts w:eastAsia="方正书宋_GBK"/>
                <w:snapToGrid w:val="0"/>
                <w:sz w:val="11"/>
                <w:szCs w:val="11"/>
              </w:rPr>
            </w:pPr>
          </w:p>
        </w:tc>
        <w:tc>
          <w:tcPr>
            <w:tcW w:w="616" w:type="dxa"/>
            <w:tcBorders>
              <w:top w:val="single" w:color="auto" w:sz="4" w:space="0"/>
            </w:tcBorders>
            <w:shd w:val="clear" w:color="auto" w:fill="auto"/>
            <w:tcMar>
              <w:top w:w="193" w:type="dxa"/>
              <w:bottom w:w="193" w:type="dxa"/>
            </w:tcMar>
            <w:vAlign w:val="center"/>
          </w:tcPr>
          <w:p w14:paraId="198D9663">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4AF5D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71" w:hRule="atLeast"/>
          <w:jc w:val="center"/>
        </w:trPr>
        <w:tc>
          <w:tcPr>
            <w:tcW w:w="991" w:type="dxa"/>
            <w:vMerge w:val="continue"/>
            <w:tcMar>
              <w:top w:w="193" w:type="dxa"/>
              <w:bottom w:w="193" w:type="dxa"/>
            </w:tcMar>
            <w:vAlign w:val="center"/>
          </w:tcPr>
          <w:p w14:paraId="5BC97829">
            <w:pPr>
              <w:widowControl/>
              <w:adjustRightInd w:val="0"/>
              <w:snapToGrid w:val="0"/>
              <w:spacing w:line="140" w:lineRule="exact"/>
              <w:rPr>
                <w:rFonts w:eastAsia="方正书宋_GBK"/>
                <w:snapToGrid w:val="0"/>
                <w:sz w:val="11"/>
                <w:szCs w:val="11"/>
              </w:rPr>
            </w:pPr>
          </w:p>
        </w:tc>
        <w:tc>
          <w:tcPr>
            <w:tcW w:w="1554" w:type="dxa"/>
            <w:vMerge w:val="continue"/>
            <w:tcMar>
              <w:top w:w="193" w:type="dxa"/>
              <w:bottom w:w="193" w:type="dxa"/>
            </w:tcMar>
            <w:vAlign w:val="center"/>
          </w:tcPr>
          <w:p w14:paraId="76EB586E">
            <w:pPr>
              <w:widowControl/>
              <w:adjustRightInd w:val="0"/>
              <w:snapToGrid w:val="0"/>
              <w:spacing w:line="140" w:lineRule="exact"/>
              <w:rPr>
                <w:rFonts w:eastAsia="方正书宋_GBK"/>
                <w:snapToGrid w:val="0"/>
                <w:sz w:val="11"/>
                <w:szCs w:val="11"/>
              </w:rPr>
            </w:pPr>
          </w:p>
        </w:tc>
        <w:tc>
          <w:tcPr>
            <w:tcW w:w="589" w:type="dxa"/>
            <w:shd w:val="clear" w:color="auto" w:fill="FFFFFF"/>
            <w:tcMar>
              <w:top w:w="193" w:type="dxa"/>
              <w:bottom w:w="193" w:type="dxa"/>
            </w:tcMar>
            <w:vAlign w:val="center"/>
          </w:tcPr>
          <w:p w14:paraId="4C229B06">
            <w:pPr>
              <w:widowControl/>
              <w:adjustRightInd w:val="0"/>
              <w:snapToGrid w:val="0"/>
              <w:spacing w:line="140" w:lineRule="exact"/>
              <w:rPr>
                <w:rFonts w:eastAsia="方正书宋_GBK"/>
                <w:snapToGrid w:val="0"/>
                <w:sz w:val="11"/>
                <w:szCs w:val="11"/>
              </w:rPr>
            </w:pPr>
            <w:r>
              <w:rPr>
                <w:rFonts w:eastAsia="方正书宋_GBK"/>
                <w:snapToGrid w:val="0"/>
                <w:sz w:val="11"/>
                <w:szCs w:val="11"/>
              </w:rPr>
              <w:t>80.3一次性养老保险待遇审核</w:t>
            </w:r>
          </w:p>
        </w:tc>
        <w:tc>
          <w:tcPr>
            <w:tcW w:w="782" w:type="dxa"/>
            <w:shd w:val="clear" w:color="auto" w:fill="FFFFFF"/>
            <w:tcMar>
              <w:top w:w="193" w:type="dxa"/>
              <w:bottom w:w="193" w:type="dxa"/>
            </w:tcMar>
            <w:vAlign w:val="center"/>
          </w:tcPr>
          <w:p w14:paraId="50F8D62F">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vMerge w:val="continue"/>
            <w:tcMar>
              <w:top w:w="193" w:type="dxa"/>
              <w:bottom w:w="193" w:type="dxa"/>
            </w:tcMar>
            <w:vAlign w:val="center"/>
          </w:tcPr>
          <w:p w14:paraId="464ECE64">
            <w:pPr>
              <w:widowControl/>
              <w:adjustRightInd w:val="0"/>
              <w:snapToGrid w:val="0"/>
              <w:spacing w:line="140" w:lineRule="exact"/>
              <w:ind w:firstLine="220" w:firstLineChars="200"/>
              <w:rPr>
                <w:rFonts w:eastAsia="方正书宋_GBK"/>
                <w:snapToGrid w:val="0"/>
                <w:sz w:val="11"/>
                <w:szCs w:val="11"/>
              </w:rPr>
            </w:pPr>
          </w:p>
        </w:tc>
        <w:tc>
          <w:tcPr>
            <w:tcW w:w="616" w:type="dxa"/>
            <w:shd w:val="clear" w:color="auto" w:fill="auto"/>
            <w:tcMar>
              <w:top w:w="193" w:type="dxa"/>
              <w:bottom w:w="193" w:type="dxa"/>
            </w:tcMar>
            <w:vAlign w:val="center"/>
          </w:tcPr>
          <w:p w14:paraId="133119BD">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6E619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234" w:hRule="atLeast"/>
          <w:jc w:val="center"/>
        </w:trPr>
        <w:tc>
          <w:tcPr>
            <w:tcW w:w="991" w:type="dxa"/>
            <w:vMerge w:val="restart"/>
            <w:shd w:val="clear" w:color="auto" w:fill="auto"/>
            <w:tcMar>
              <w:top w:w="420" w:type="dxa"/>
              <w:bottom w:w="420" w:type="dxa"/>
            </w:tcMar>
            <w:vAlign w:val="center"/>
          </w:tcPr>
          <w:p w14:paraId="7A3EBE26">
            <w:pPr>
              <w:widowControl/>
              <w:adjustRightInd w:val="0"/>
              <w:snapToGrid w:val="0"/>
              <w:spacing w:line="140" w:lineRule="exact"/>
              <w:rPr>
                <w:rFonts w:eastAsia="方正书宋_GBK"/>
                <w:snapToGrid w:val="0"/>
                <w:sz w:val="11"/>
                <w:szCs w:val="11"/>
              </w:rPr>
            </w:pPr>
            <w:r>
              <w:rPr>
                <w:rFonts w:eastAsia="方正书宋_GBK"/>
                <w:snapToGrid w:val="0"/>
                <w:sz w:val="11"/>
                <w:szCs w:val="11"/>
              </w:rPr>
              <w:t>其他行政权力</w:t>
            </w:r>
          </w:p>
        </w:tc>
        <w:tc>
          <w:tcPr>
            <w:tcW w:w="1554" w:type="dxa"/>
            <w:vMerge w:val="restart"/>
            <w:shd w:val="clear" w:color="auto" w:fill="FFFFFF"/>
            <w:tcMar>
              <w:top w:w="420" w:type="dxa"/>
              <w:bottom w:w="420" w:type="dxa"/>
            </w:tcMar>
            <w:vAlign w:val="center"/>
          </w:tcPr>
          <w:p w14:paraId="6FA4C207">
            <w:pPr>
              <w:widowControl/>
              <w:adjustRightInd w:val="0"/>
              <w:snapToGrid w:val="0"/>
              <w:spacing w:line="140" w:lineRule="exact"/>
              <w:rPr>
                <w:rFonts w:eastAsia="方正书宋_GBK"/>
                <w:snapToGrid w:val="0"/>
                <w:sz w:val="11"/>
                <w:szCs w:val="11"/>
              </w:rPr>
            </w:pPr>
            <w:r>
              <w:rPr>
                <w:rFonts w:eastAsia="方正书宋_GBK"/>
                <w:snapToGrid w:val="0"/>
                <w:sz w:val="11"/>
                <w:szCs w:val="11"/>
              </w:rPr>
              <w:t>失业保险待遇审核</w:t>
            </w:r>
          </w:p>
        </w:tc>
        <w:tc>
          <w:tcPr>
            <w:tcW w:w="589" w:type="dxa"/>
            <w:shd w:val="clear" w:color="auto" w:fill="FFFFFF"/>
            <w:tcMar>
              <w:top w:w="420" w:type="dxa"/>
              <w:bottom w:w="420" w:type="dxa"/>
            </w:tcMar>
            <w:vAlign w:val="center"/>
          </w:tcPr>
          <w:p w14:paraId="158C6384">
            <w:pPr>
              <w:widowControl/>
              <w:adjustRightInd w:val="0"/>
              <w:snapToGrid w:val="0"/>
              <w:spacing w:line="140" w:lineRule="exact"/>
              <w:rPr>
                <w:rFonts w:eastAsia="方正书宋_GBK"/>
                <w:snapToGrid w:val="0"/>
                <w:sz w:val="11"/>
                <w:szCs w:val="11"/>
              </w:rPr>
            </w:pPr>
            <w:r>
              <w:rPr>
                <w:rFonts w:eastAsia="方正书宋_GBK"/>
                <w:snapToGrid w:val="0"/>
                <w:sz w:val="11"/>
                <w:szCs w:val="11"/>
              </w:rPr>
              <w:t>丧葬补助金和一次性抚恤金审核</w:t>
            </w:r>
          </w:p>
        </w:tc>
        <w:tc>
          <w:tcPr>
            <w:tcW w:w="782" w:type="dxa"/>
            <w:shd w:val="clear" w:color="auto" w:fill="FFFFFF"/>
            <w:tcMar>
              <w:top w:w="420" w:type="dxa"/>
              <w:bottom w:w="420" w:type="dxa"/>
            </w:tcMar>
            <w:vAlign w:val="center"/>
          </w:tcPr>
          <w:p w14:paraId="3561B874">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vMerge w:val="restart"/>
            <w:shd w:val="clear" w:color="auto" w:fill="FFFFFF"/>
            <w:tcMar>
              <w:top w:w="420" w:type="dxa"/>
              <w:bottom w:w="420" w:type="dxa"/>
            </w:tcMar>
            <w:vAlign w:val="center"/>
          </w:tcPr>
          <w:p w14:paraId="4D7528B8">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【法律】《中华人民共和国社会保险法》（2010年10月28日中华人民共和国主席令第35号公布，自2011年7月1日起施行）第七条  国务院社会保险行政部门负责全国的社会保险管理工作，国务院其他有关部门在各自的职责范围内负责有关的社会保险工作。县级以上地方人民政府社会保险行政部门负责本行政区域的社会保险管理工作，县级以上地方人民政府其他有关部门在各自的职责范围内负责有关的社会保险工作。</w:t>
            </w:r>
          </w:p>
          <w:p w14:paraId="0C5C5821">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第七十三条  社会保险经办机构应当按时足额支付社会保险待遇。</w:t>
            </w:r>
          </w:p>
          <w:p w14:paraId="19C412A1">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【行政法规】《失业保险条例》（1999年1月22日中华人民共和国国务院令第258号发布，自发布之日起施行）第三条  国务院劳动保障行政部门主管全国的失业保险工作。县级以上地方各级人民政府劳动保障行政部门主管本行政区域内的失业保险工作。劳动保障行政部门按照国务院规定设立的经办失业保险业务的社会保险经办机构依照本条例的规定，具体承办失业保险工作。</w:t>
            </w:r>
          </w:p>
          <w:p w14:paraId="0BC155D1">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二十五条社会保险经办机构具体承办失业保险工作，履行下列职责：（一）负责失业人员的登记、调查、统计；（二）按照规定负责失业保险基金的管理；（三）按照规定核定失业保险待遇，开具失业人员在指定银行领取失业保险金和其他补助金的单证；（四）拨付失业人员职业培训、职业介绍补贴费用；（五）为失业人员提供免费咨询服务；（六）国家规定由其履行的其他职责。</w:t>
            </w:r>
          </w:p>
          <w:p w14:paraId="220009AB">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【地方政府规章】《广西壮族自治区失业保险办法》（2004年1月17日广西壮族自治区人民政府令第5号发布，自2004年3月1日起施行）第三条  自治区劳动和社会保障行政部门主管全自治区的失业保险工作。县级以上劳动保障行政部门主管本辖区内的失业保险工作。按照国家和自治区规定设立的失业保险经办机构，依照法律、法规和本办法的规定具体承办失业保险的各项业务工作。</w:t>
            </w:r>
          </w:p>
          <w:p w14:paraId="1BD9AB94">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第二十七条  失业保险经办机构具体承办失业保险的各项业务工作，应当履行下列职责：（一）负责失业人员的登记、管理、调查、统计；（二）按照国家和自治区规定负责失业保险基金的管理；（三）按照国家和自治区规定核发失业保险金及其他失业保险待遇；（四）拨付失业人员职业培训、职业介绍补贴等就业服务补贴费用；（五）对失业人员提供免费咨询服务；（六）对失业保险费的征收和失业人员享受有关待遇情况进行稽核；（七）法律、法规规定由其履行的其他职责。</w:t>
            </w:r>
          </w:p>
        </w:tc>
        <w:tc>
          <w:tcPr>
            <w:tcW w:w="616" w:type="dxa"/>
            <w:shd w:val="clear" w:color="auto" w:fill="auto"/>
            <w:tcMar>
              <w:top w:w="420" w:type="dxa"/>
              <w:bottom w:w="420" w:type="dxa"/>
            </w:tcMar>
            <w:vAlign w:val="center"/>
          </w:tcPr>
          <w:p w14:paraId="35EF5824">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87BF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235" w:hRule="atLeast"/>
          <w:jc w:val="center"/>
        </w:trPr>
        <w:tc>
          <w:tcPr>
            <w:tcW w:w="991" w:type="dxa"/>
            <w:vMerge w:val="continue"/>
            <w:tcMar>
              <w:top w:w="420" w:type="dxa"/>
              <w:bottom w:w="420" w:type="dxa"/>
            </w:tcMar>
            <w:vAlign w:val="center"/>
          </w:tcPr>
          <w:p w14:paraId="54C7B32F">
            <w:pPr>
              <w:widowControl/>
              <w:adjustRightInd w:val="0"/>
              <w:snapToGrid w:val="0"/>
              <w:spacing w:line="140" w:lineRule="exact"/>
              <w:rPr>
                <w:rFonts w:eastAsia="方正书宋_GBK"/>
                <w:snapToGrid w:val="0"/>
                <w:sz w:val="11"/>
                <w:szCs w:val="11"/>
              </w:rPr>
            </w:pPr>
          </w:p>
        </w:tc>
        <w:tc>
          <w:tcPr>
            <w:tcW w:w="1554" w:type="dxa"/>
            <w:vMerge w:val="continue"/>
            <w:tcMar>
              <w:top w:w="420" w:type="dxa"/>
              <w:bottom w:w="420" w:type="dxa"/>
            </w:tcMar>
            <w:vAlign w:val="center"/>
          </w:tcPr>
          <w:p w14:paraId="435E0627">
            <w:pPr>
              <w:widowControl/>
              <w:adjustRightInd w:val="0"/>
              <w:snapToGrid w:val="0"/>
              <w:spacing w:line="140" w:lineRule="exact"/>
              <w:rPr>
                <w:rFonts w:eastAsia="方正书宋_GBK"/>
                <w:snapToGrid w:val="0"/>
                <w:sz w:val="11"/>
                <w:szCs w:val="11"/>
              </w:rPr>
            </w:pPr>
          </w:p>
        </w:tc>
        <w:tc>
          <w:tcPr>
            <w:tcW w:w="589" w:type="dxa"/>
            <w:shd w:val="clear" w:color="auto" w:fill="FFFFFF"/>
            <w:tcMar>
              <w:top w:w="420" w:type="dxa"/>
              <w:bottom w:w="420" w:type="dxa"/>
            </w:tcMar>
            <w:vAlign w:val="center"/>
          </w:tcPr>
          <w:p w14:paraId="5DAB0195">
            <w:pPr>
              <w:widowControl/>
              <w:adjustRightInd w:val="0"/>
              <w:snapToGrid w:val="0"/>
              <w:spacing w:line="140" w:lineRule="exact"/>
              <w:rPr>
                <w:rFonts w:eastAsia="方正书宋_GBK"/>
                <w:snapToGrid w:val="0"/>
                <w:sz w:val="11"/>
                <w:szCs w:val="11"/>
              </w:rPr>
            </w:pPr>
            <w:r>
              <w:rPr>
                <w:rFonts w:eastAsia="方正书宋_GBK"/>
                <w:snapToGrid w:val="0"/>
                <w:sz w:val="11"/>
                <w:szCs w:val="11"/>
              </w:rPr>
              <w:t>失业保险金申领</w:t>
            </w:r>
          </w:p>
        </w:tc>
        <w:tc>
          <w:tcPr>
            <w:tcW w:w="782" w:type="dxa"/>
            <w:shd w:val="clear" w:color="auto" w:fill="FFFFFF"/>
            <w:tcMar>
              <w:top w:w="420" w:type="dxa"/>
              <w:bottom w:w="420" w:type="dxa"/>
            </w:tcMar>
            <w:vAlign w:val="center"/>
          </w:tcPr>
          <w:p w14:paraId="3F13B5CE">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vMerge w:val="continue"/>
            <w:tcMar>
              <w:top w:w="420" w:type="dxa"/>
              <w:bottom w:w="420" w:type="dxa"/>
            </w:tcMar>
            <w:vAlign w:val="center"/>
          </w:tcPr>
          <w:p w14:paraId="716250D7">
            <w:pPr>
              <w:widowControl/>
              <w:adjustRightInd w:val="0"/>
              <w:snapToGrid w:val="0"/>
              <w:spacing w:line="140" w:lineRule="exact"/>
              <w:ind w:firstLine="220" w:firstLineChars="200"/>
              <w:rPr>
                <w:rFonts w:eastAsia="方正书宋_GBK"/>
                <w:snapToGrid w:val="0"/>
                <w:sz w:val="11"/>
                <w:szCs w:val="11"/>
              </w:rPr>
            </w:pPr>
          </w:p>
        </w:tc>
        <w:tc>
          <w:tcPr>
            <w:tcW w:w="616" w:type="dxa"/>
            <w:shd w:val="clear" w:color="auto" w:fill="auto"/>
            <w:tcMar>
              <w:top w:w="420" w:type="dxa"/>
              <w:bottom w:w="420" w:type="dxa"/>
            </w:tcMar>
            <w:vAlign w:val="center"/>
          </w:tcPr>
          <w:p w14:paraId="75F0BF28">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4C7F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21" w:hRule="atLeast"/>
          <w:jc w:val="center"/>
        </w:trPr>
        <w:tc>
          <w:tcPr>
            <w:tcW w:w="991" w:type="dxa"/>
            <w:vMerge w:val="restart"/>
            <w:shd w:val="clear" w:color="auto" w:fill="auto"/>
            <w:tcMar>
              <w:top w:w="420" w:type="dxa"/>
              <w:bottom w:w="420" w:type="dxa"/>
            </w:tcMar>
            <w:vAlign w:val="center"/>
          </w:tcPr>
          <w:p w14:paraId="68798740">
            <w:pPr>
              <w:widowControl/>
              <w:adjustRightInd w:val="0"/>
              <w:snapToGrid w:val="0"/>
              <w:spacing w:line="140" w:lineRule="exact"/>
              <w:rPr>
                <w:rFonts w:eastAsia="方正书宋_GBK"/>
                <w:snapToGrid w:val="0"/>
                <w:sz w:val="11"/>
                <w:szCs w:val="11"/>
              </w:rPr>
            </w:pPr>
            <w:r>
              <w:rPr>
                <w:rFonts w:eastAsia="方正书宋_GBK"/>
                <w:snapToGrid w:val="0"/>
                <w:sz w:val="11"/>
                <w:szCs w:val="11"/>
              </w:rPr>
              <w:t>其他行政权力</w:t>
            </w:r>
          </w:p>
        </w:tc>
        <w:tc>
          <w:tcPr>
            <w:tcW w:w="1554" w:type="dxa"/>
            <w:vMerge w:val="restart"/>
            <w:shd w:val="clear" w:color="auto" w:fill="FFFFFF"/>
            <w:tcMar>
              <w:top w:w="420" w:type="dxa"/>
              <w:bottom w:w="420" w:type="dxa"/>
            </w:tcMar>
            <w:vAlign w:val="center"/>
          </w:tcPr>
          <w:p w14:paraId="71760E8D">
            <w:pPr>
              <w:widowControl/>
              <w:adjustRightInd w:val="0"/>
              <w:snapToGrid w:val="0"/>
              <w:spacing w:line="140" w:lineRule="exact"/>
              <w:rPr>
                <w:rFonts w:eastAsia="方正书宋_GBK"/>
                <w:snapToGrid w:val="0"/>
                <w:sz w:val="11"/>
                <w:szCs w:val="11"/>
              </w:rPr>
            </w:pPr>
            <w:r>
              <w:rPr>
                <w:rFonts w:eastAsia="方正书宋_GBK"/>
                <w:snapToGrid w:val="0"/>
                <w:sz w:val="11"/>
                <w:szCs w:val="11"/>
              </w:rPr>
              <w:t>工伤保险待遇审核</w:t>
            </w:r>
          </w:p>
        </w:tc>
        <w:tc>
          <w:tcPr>
            <w:tcW w:w="589" w:type="dxa"/>
            <w:shd w:val="clear" w:color="auto" w:fill="FFFFFF"/>
            <w:tcMar>
              <w:top w:w="420" w:type="dxa"/>
              <w:bottom w:w="420" w:type="dxa"/>
            </w:tcMar>
            <w:vAlign w:val="center"/>
          </w:tcPr>
          <w:p w14:paraId="4279F509">
            <w:pPr>
              <w:widowControl/>
              <w:adjustRightInd w:val="0"/>
              <w:snapToGrid w:val="0"/>
              <w:spacing w:line="140" w:lineRule="exact"/>
              <w:rPr>
                <w:rFonts w:eastAsia="方正书宋_GBK"/>
                <w:snapToGrid w:val="0"/>
                <w:sz w:val="11"/>
                <w:szCs w:val="11"/>
              </w:rPr>
            </w:pPr>
            <w:r>
              <w:rPr>
                <w:rFonts w:eastAsia="方正书宋_GBK"/>
                <w:snapToGrid w:val="0"/>
                <w:sz w:val="11"/>
                <w:szCs w:val="11"/>
              </w:rPr>
              <w:t>申请工伤医疗待遇</w:t>
            </w:r>
          </w:p>
        </w:tc>
        <w:tc>
          <w:tcPr>
            <w:tcW w:w="782" w:type="dxa"/>
            <w:shd w:val="clear" w:color="auto" w:fill="FFFFFF"/>
            <w:tcMar>
              <w:top w:w="420" w:type="dxa"/>
              <w:bottom w:w="420" w:type="dxa"/>
            </w:tcMar>
            <w:vAlign w:val="center"/>
          </w:tcPr>
          <w:p w14:paraId="359BC82A">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vMerge w:val="restart"/>
            <w:shd w:val="clear" w:color="auto" w:fill="FFFFFF"/>
            <w:tcMar>
              <w:top w:w="420" w:type="dxa"/>
              <w:bottom w:w="420" w:type="dxa"/>
            </w:tcMar>
            <w:vAlign w:val="center"/>
          </w:tcPr>
          <w:p w14:paraId="0F8A6E3E">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【法律】《中华人民共和国社会保险法》（2010年10月28日中华人民共和国主席令第35号公布，自2011年7月1日起施行）第七条  国务院社会保险行政部门负责全国的社会保险管理工作，国务院其他有关部门在各自的职责范围内负责有关的社会保险工作。县级以上地方人民政府社会保险行政部门负责本行政区域的社会保险管理工作，县级以上地方人民政府其他有关部门在各自的职责范围内负责有关的社会保险工作。</w:t>
            </w:r>
          </w:p>
          <w:p w14:paraId="3397ADCC">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第七十三条  社会保险经办机构应当按时足额支付社会保险待遇。</w:t>
            </w:r>
          </w:p>
          <w:p w14:paraId="48631DDF">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【地方政府规章】《广西壮族自治区实施〈工伤保险条例〉办法》（2006年11月27日广西壮族自治区人民政府令第18号发布，自2007年1月1日起施行，2017年1月4日修订）第三条第二款  社会保障行政部门设立的社会保险经办机构（以下简称经办机构）具体承办工伤保险事务。</w:t>
            </w:r>
          </w:p>
        </w:tc>
        <w:tc>
          <w:tcPr>
            <w:tcW w:w="616" w:type="dxa"/>
            <w:shd w:val="clear" w:color="auto" w:fill="auto"/>
            <w:tcMar>
              <w:top w:w="420" w:type="dxa"/>
              <w:bottom w:w="420" w:type="dxa"/>
            </w:tcMar>
            <w:vAlign w:val="center"/>
          </w:tcPr>
          <w:p w14:paraId="51827DBA">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14BC7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21" w:hRule="atLeast"/>
          <w:jc w:val="center"/>
        </w:trPr>
        <w:tc>
          <w:tcPr>
            <w:tcW w:w="991" w:type="dxa"/>
            <w:vMerge w:val="continue"/>
            <w:tcMar>
              <w:top w:w="420" w:type="dxa"/>
              <w:bottom w:w="420" w:type="dxa"/>
            </w:tcMar>
            <w:vAlign w:val="center"/>
          </w:tcPr>
          <w:p w14:paraId="6C525D92">
            <w:pPr>
              <w:widowControl/>
              <w:adjustRightInd w:val="0"/>
              <w:snapToGrid w:val="0"/>
              <w:spacing w:line="140" w:lineRule="exact"/>
              <w:rPr>
                <w:rFonts w:eastAsia="方正书宋_GBK"/>
                <w:snapToGrid w:val="0"/>
                <w:sz w:val="11"/>
                <w:szCs w:val="11"/>
              </w:rPr>
            </w:pPr>
          </w:p>
        </w:tc>
        <w:tc>
          <w:tcPr>
            <w:tcW w:w="1554" w:type="dxa"/>
            <w:vMerge w:val="continue"/>
            <w:tcMar>
              <w:top w:w="420" w:type="dxa"/>
              <w:bottom w:w="420" w:type="dxa"/>
            </w:tcMar>
            <w:vAlign w:val="center"/>
          </w:tcPr>
          <w:p w14:paraId="3B6C65EE">
            <w:pPr>
              <w:widowControl/>
              <w:adjustRightInd w:val="0"/>
              <w:snapToGrid w:val="0"/>
              <w:spacing w:line="140" w:lineRule="exact"/>
              <w:rPr>
                <w:rFonts w:eastAsia="方正书宋_GBK"/>
                <w:snapToGrid w:val="0"/>
                <w:sz w:val="11"/>
                <w:szCs w:val="11"/>
              </w:rPr>
            </w:pPr>
          </w:p>
        </w:tc>
        <w:tc>
          <w:tcPr>
            <w:tcW w:w="589" w:type="dxa"/>
            <w:shd w:val="clear" w:color="auto" w:fill="FFFFFF"/>
            <w:tcMar>
              <w:top w:w="420" w:type="dxa"/>
              <w:bottom w:w="420" w:type="dxa"/>
            </w:tcMar>
            <w:vAlign w:val="center"/>
          </w:tcPr>
          <w:p w14:paraId="316BAC1F">
            <w:pPr>
              <w:widowControl/>
              <w:adjustRightInd w:val="0"/>
              <w:snapToGrid w:val="0"/>
              <w:spacing w:line="140" w:lineRule="exact"/>
              <w:rPr>
                <w:rFonts w:eastAsia="方正书宋_GBK"/>
                <w:snapToGrid w:val="0"/>
                <w:sz w:val="11"/>
                <w:szCs w:val="11"/>
              </w:rPr>
            </w:pPr>
            <w:r>
              <w:rPr>
                <w:rFonts w:eastAsia="方正书宋_GBK"/>
                <w:snapToGrid w:val="0"/>
                <w:sz w:val="11"/>
                <w:szCs w:val="11"/>
              </w:rPr>
              <w:t>申请职工因工伤残待遇</w:t>
            </w:r>
          </w:p>
        </w:tc>
        <w:tc>
          <w:tcPr>
            <w:tcW w:w="782" w:type="dxa"/>
            <w:shd w:val="clear" w:color="auto" w:fill="FFFFFF"/>
            <w:tcMar>
              <w:top w:w="420" w:type="dxa"/>
              <w:bottom w:w="420" w:type="dxa"/>
            </w:tcMar>
            <w:vAlign w:val="center"/>
          </w:tcPr>
          <w:p w14:paraId="6AE949FD">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vMerge w:val="continue"/>
            <w:tcMar>
              <w:top w:w="420" w:type="dxa"/>
              <w:bottom w:w="420" w:type="dxa"/>
            </w:tcMar>
            <w:vAlign w:val="center"/>
          </w:tcPr>
          <w:p w14:paraId="3D16BD5E">
            <w:pPr>
              <w:widowControl/>
              <w:adjustRightInd w:val="0"/>
              <w:snapToGrid w:val="0"/>
              <w:spacing w:line="140" w:lineRule="exact"/>
              <w:ind w:firstLine="220" w:firstLineChars="200"/>
              <w:rPr>
                <w:rFonts w:eastAsia="方正书宋_GBK"/>
                <w:snapToGrid w:val="0"/>
                <w:sz w:val="11"/>
                <w:szCs w:val="11"/>
              </w:rPr>
            </w:pPr>
          </w:p>
        </w:tc>
        <w:tc>
          <w:tcPr>
            <w:tcW w:w="616" w:type="dxa"/>
            <w:shd w:val="clear" w:color="auto" w:fill="auto"/>
            <w:tcMar>
              <w:top w:w="420" w:type="dxa"/>
              <w:bottom w:w="420" w:type="dxa"/>
            </w:tcMar>
            <w:vAlign w:val="center"/>
          </w:tcPr>
          <w:p w14:paraId="56E676A6">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1B099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21" w:hRule="atLeast"/>
          <w:jc w:val="center"/>
        </w:trPr>
        <w:tc>
          <w:tcPr>
            <w:tcW w:w="991" w:type="dxa"/>
            <w:vMerge w:val="continue"/>
            <w:tcMar>
              <w:top w:w="420" w:type="dxa"/>
              <w:bottom w:w="420" w:type="dxa"/>
            </w:tcMar>
            <w:vAlign w:val="center"/>
          </w:tcPr>
          <w:p w14:paraId="1923DC82">
            <w:pPr>
              <w:widowControl/>
              <w:adjustRightInd w:val="0"/>
              <w:snapToGrid w:val="0"/>
              <w:spacing w:line="140" w:lineRule="exact"/>
              <w:rPr>
                <w:rFonts w:eastAsia="方正书宋_GBK"/>
                <w:snapToGrid w:val="0"/>
                <w:sz w:val="11"/>
                <w:szCs w:val="11"/>
              </w:rPr>
            </w:pPr>
          </w:p>
        </w:tc>
        <w:tc>
          <w:tcPr>
            <w:tcW w:w="1554" w:type="dxa"/>
            <w:vMerge w:val="continue"/>
            <w:tcMar>
              <w:top w:w="420" w:type="dxa"/>
              <w:bottom w:w="420" w:type="dxa"/>
            </w:tcMar>
            <w:vAlign w:val="center"/>
          </w:tcPr>
          <w:p w14:paraId="7B1A2E63">
            <w:pPr>
              <w:widowControl/>
              <w:adjustRightInd w:val="0"/>
              <w:snapToGrid w:val="0"/>
              <w:spacing w:line="140" w:lineRule="exact"/>
              <w:rPr>
                <w:rFonts w:eastAsia="方正书宋_GBK"/>
                <w:snapToGrid w:val="0"/>
                <w:sz w:val="11"/>
                <w:szCs w:val="11"/>
              </w:rPr>
            </w:pPr>
          </w:p>
        </w:tc>
        <w:tc>
          <w:tcPr>
            <w:tcW w:w="589" w:type="dxa"/>
            <w:shd w:val="clear" w:color="auto" w:fill="FFFFFF"/>
            <w:tcMar>
              <w:top w:w="420" w:type="dxa"/>
              <w:bottom w:w="420" w:type="dxa"/>
            </w:tcMar>
            <w:vAlign w:val="center"/>
          </w:tcPr>
          <w:p w14:paraId="440FF60A">
            <w:pPr>
              <w:widowControl/>
              <w:adjustRightInd w:val="0"/>
              <w:snapToGrid w:val="0"/>
              <w:spacing w:line="140" w:lineRule="exact"/>
              <w:rPr>
                <w:rFonts w:eastAsia="方正书宋_GBK"/>
                <w:snapToGrid w:val="0"/>
                <w:sz w:val="11"/>
                <w:szCs w:val="11"/>
              </w:rPr>
            </w:pPr>
            <w:r>
              <w:rPr>
                <w:rFonts w:eastAsia="方正书宋_GBK"/>
                <w:snapToGrid w:val="0"/>
                <w:sz w:val="11"/>
                <w:szCs w:val="11"/>
              </w:rPr>
              <w:t>申请职工因工死亡待遇</w:t>
            </w:r>
          </w:p>
        </w:tc>
        <w:tc>
          <w:tcPr>
            <w:tcW w:w="782" w:type="dxa"/>
            <w:shd w:val="clear" w:color="auto" w:fill="FFFFFF"/>
            <w:tcMar>
              <w:top w:w="420" w:type="dxa"/>
              <w:bottom w:w="420" w:type="dxa"/>
            </w:tcMar>
            <w:vAlign w:val="center"/>
          </w:tcPr>
          <w:p w14:paraId="6BEFB158">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vMerge w:val="continue"/>
            <w:tcMar>
              <w:top w:w="420" w:type="dxa"/>
              <w:bottom w:w="420" w:type="dxa"/>
            </w:tcMar>
            <w:vAlign w:val="center"/>
          </w:tcPr>
          <w:p w14:paraId="56C1570C">
            <w:pPr>
              <w:widowControl/>
              <w:adjustRightInd w:val="0"/>
              <w:snapToGrid w:val="0"/>
              <w:spacing w:line="140" w:lineRule="exact"/>
              <w:ind w:firstLine="220" w:firstLineChars="200"/>
              <w:rPr>
                <w:rFonts w:eastAsia="方正书宋_GBK"/>
                <w:snapToGrid w:val="0"/>
                <w:sz w:val="11"/>
                <w:szCs w:val="11"/>
              </w:rPr>
            </w:pPr>
          </w:p>
        </w:tc>
        <w:tc>
          <w:tcPr>
            <w:tcW w:w="616" w:type="dxa"/>
            <w:shd w:val="clear" w:color="auto" w:fill="auto"/>
            <w:tcMar>
              <w:top w:w="420" w:type="dxa"/>
              <w:bottom w:w="420" w:type="dxa"/>
            </w:tcMar>
            <w:vAlign w:val="center"/>
          </w:tcPr>
          <w:p w14:paraId="249BEBB8">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5D92A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991" w:type="dxa"/>
            <w:shd w:val="clear" w:color="auto" w:fill="auto"/>
            <w:tcMar>
              <w:top w:w="420" w:type="dxa"/>
              <w:bottom w:w="420" w:type="dxa"/>
            </w:tcMar>
            <w:vAlign w:val="center"/>
          </w:tcPr>
          <w:p w14:paraId="272E51E6">
            <w:pPr>
              <w:widowControl/>
              <w:adjustRightInd w:val="0"/>
              <w:snapToGrid w:val="0"/>
              <w:spacing w:line="140" w:lineRule="exact"/>
              <w:rPr>
                <w:rFonts w:eastAsia="方正书宋_GBK"/>
                <w:snapToGrid w:val="0"/>
                <w:sz w:val="11"/>
                <w:szCs w:val="11"/>
              </w:rPr>
            </w:pPr>
            <w:r>
              <w:rPr>
                <w:rFonts w:eastAsia="方正书宋_GBK"/>
                <w:snapToGrid w:val="0"/>
                <w:sz w:val="11"/>
                <w:szCs w:val="11"/>
              </w:rPr>
              <w:t>其他行政权力</w:t>
            </w:r>
          </w:p>
        </w:tc>
        <w:tc>
          <w:tcPr>
            <w:tcW w:w="1554" w:type="dxa"/>
            <w:shd w:val="clear" w:color="auto" w:fill="FFFFFF"/>
            <w:tcMar>
              <w:top w:w="420" w:type="dxa"/>
              <w:bottom w:w="420" w:type="dxa"/>
            </w:tcMar>
            <w:vAlign w:val="center"/>
          </w:tcPr>
          <w:p w14:paraId="30B6D85A">
            <w:pPr>
              <w:widowControl/>
              <w:adjustRightInd w:val="0"/>
              <w:snapToGrid w:val="0"/>
              <w:spacing w:line="140" w:lineRule="exact"/>
              <w:rPr>
                <w:rFonts w:eastAsia="方正书宋_GBK"/>
                <w:snapToGrid w:val="0"/>
                <w:sz w:val="11"/>
                <w:szCs w:val="11"/>
              </w:rPr>
            </w:pPr>
            <w:r>
              <w:rPr>
                <w:rFonts w:eastAsia="方正书宋_GBK"/>
                <w:snapToGrid w:val="0"/>
                <w:sz w:val="11"/>
                <w:szCs w:val="11"/>
              </w:rPr>
              <w:t>职业资格证书核发</w:t>
            </w:r>
          </w:p>
        </w:tc>
        <w:tc>
          <w:tcPr>
            <w:tcW w:w="589" w:type="dxa"/>
            <w:shd w:val="clear" w:color="auto" w:fill="FFFFFF"/>
            <w:tcMar>
              <w:top w:w="420" w:type="dxa"/>
              <w:bottom w:w="420" w:type="dxa"/>
            </w:tcMar>
            <w:vAlign w:val="center"/>
          </w:tcPr>
          <w:p w14:paraId="787515AE">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FFFFFF"/>
            <w:tcMar>
              <w:top w:w="420" w:type="dxa"/>
              <w:bottom w:w="420" w:type="dxa"/>
            </w:tcMar>
            <w:vAlign w:val="center"/>
          </w:tcPr>
          <w:p w14:paraId="4EFDDAFF">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FFFFFF"/>
            <w:tcMar>
              <w:top w:w="420" w:type="dxa"/>
              <w:bottom w:w="420" w:type="dxa"/>
            </w:tcMar>
            <w:vAlign w:val="center"/>
          </w:tcPr>
          <w:p w14:paraId="626C4E4B">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【法律】《中华人民共和国劳动法》（1994年7月5日中华人民共和国主席令第28号公布，1995年1月1日起施行）第六十九条  国家确定职业分类，对规定的职业制定职业技能标准，实行职业资格证书制度，由经过政府批准的考核鉴定机构负责对劳动者实施职业技能考核鉴定。</w:t>
            </w:r>
          </w:p>
          <w:p w14:paraId="0156F458">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【法律】《中华人民共和国职业教育法》（1996年5月15日中华人民共和国主席令第69号公布，自1996年9月1日起施行）第八条  实施职业教育应根据实际需要，同国家制定的职业分类和职业等级标准相适应，实行职业资格证书制度。</w:t>
            </w:r>
          </w:p>
        </w:tc>
        <w:tc>
          <w:tcPr>
            <w:tcW w:w="616" w:type="dxa"/>
            <w:shd w:val="clear" w:color="auto" w:fill="auto"/>
            <w:tcMar>
              <w:top w:w="420" w:type="dxa"/>
              <w:bottom w:w="420" w:type="dxa"/>
            </w:tcMar>
            <w:vAlign w:val="center"/>
          </w:tcPr>
          <w:p w14:paraId="00BC01ED">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r w14:paraId="7F6A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721" w:hRule="atLeast"/>
          <w:jc w:val="center"/>
        </w:trPr>
        <w:tc>
          <w:tcPr>
            <w:tcW w:w="991" w:type="dxa"/>
            <w:shd w:val="clear" w:color="auto" w:fill="auto"/>
            <w:vAlign w:val="center"/>
          </w:tcPr>
          <w:p w14:paraId="040915AC">
            <w:pPr>
              <w:widowControl/>
              <w:adjustRightInd w:val="0"/>
              <w:snapToGrid w:val="0"/>
              <w:spacing w:line="140" w:lineRule="exact"/>
              <w:rPr>
                <w:rFonts w:eastAsia="方正书宋_GBK"/>
                <w:snapToGrid w:val="0"/>
                <w:sz w:val="11"/>
                <w:szCs w:val="11"/>
              </w:rPr>
            </w:pPr>
            <w:r>
              <w:rPr>
                <w:rFonts w:eastAsia="方正书宋_GBK"/>
                <w:snapToGrid w:val="0"/>
                <w:sz w:val="11"/>
                <w:szCs w:val="11"/>
              </w:rPr>
              <w:t>其他行政权力</w:t>
            </w:r>
          </w:p>
        </w:tc>
        <w:tc>
          <w:tcPr>
            <w:tcW w:w="1554" w:type="dxa"/>
            <w:shd w:val="clear" w:color="auto" w:fill="FFFFFF"/>
            <w:vAlign w:val="center"/>
          </w:tcPr>
          <w:p w14:paraId="1C001C98">
            <w:pPr>
              <w:widowControl/>
              <w:adjustRightInd w:val="0"/>
              <w:snapToGrid w:val="0"/>
              <w:spacing w:line="140" w:lineRule="exact"/>
              <w:rPr>
                <w:rFonts w:eastAsia="方正书宋_GBK"/>
                <w:snapToGrid w:val="0"/>
                <w:sz w:val="11"/>
                <w:szCs w:val="11"/>
              </w:rPr>
            </w:pPr>
            <w:r>
              <w:rPr>
                <w:rFonts w:eastAsia="方正书宋_GBK"/>
                <w:snapToGrid w:val="0"/>
                <w:sz w:val="11"/>
                <w:szCs w:val="11"/>
              </w:rPr>
              <w:t>社会保险费征收机构擅自更改社会保险费缴费基数、费率，导致少收或多收社会保险费的处理</w:t>
            </w:r>
          </w:p>
        </w:tc>
        <w:tc>
          <w:tcPr>
            <w:tcW w:w="589" w:type="dxa"/>
            <w:shd w:val="clear" w:color="auto" w:fill="FFFFFF"/>
            <w:vAlign w:val="center"/>
          </w:tcPr>
          <w:p w14:paraId="44C27752">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782" w:type="dxa"/>
            <w:shd w:val="clear" w:color="auto" w:fill="FFFFFF"/>
            <w:vAlign w:val="center"/>
          </w:tcPr>
          <w:p w14:paraId="5F3CC979">
            <w:pPr>
              <w:widowControl/>
              <w:adjustRightInd w:val="0"/>
              <w:snapToGrid w:val="0"/>
              <w:spacing w:line="140" w:lineRule="exact"/>
              <w:rPr>
                <w:rFonts w:eastAsia="方正书宋_GBK"/>
                <w:snapToGrid w:val="0"/>
                <w:sz w:val="11"/>
                <w:szCs w:val="11"/>
              </w:rPr>
            </w:pPr>
            <w:r>
              <w:rPr>
                <w:rFonts w:eastAsia="方正书宋_GBK"/>
                <w:snapToGrid w:val="0"/>
                <w:sz w:val="11"/>
                <w:szCs w:val="11"/>
              </w:rPr>
              <w:t>无</w:t>
            </w:r>
          </w:p>
        </w:tc>
        <w:tc>
          <w:tcPr>
            <w:tcW w:w="3267" w:type="dxa"/>
            <w:shd w:val="clear" w:color="auto" w:fill="FFFFFF"/>
            <w:vAlign w:val="center"/>
          </w:tcPr>
          <w:p w14:paraId="7F67EC09">
            <w:pPr>
              <w:widowControl/>
              <w:adjustRightInd w:val="0"/>
              <w:snapToGrid w:val="0"/>
              <w:spacing w:line="140" w:lineRule="exact"/>
              <w:ind w:firstLine="220" w:firstLineChars="200"/>
              <w:rPr>
                <w:rFonts w:eastAsia="方正书宋_GBK"/>
                <w:snapToGrid w:val="0"/>
                <w:sz w:val="11"/>
                <w:szCs w:val="11"/>
              </w:rPr>
            </w:pPr>
            <w:r>
              <w:rPr>
                <w:rFonts w:eastAsia="方正书宋_GBK"/>
                <w:snapToGrid w:val="0"/>
                <w:sz w:val="11"/>
                <w:szCs w:val="11"/>
              </w:rPr>
              <w:t>【法律】《中华人民共和国社会保险法》（2010年10月28日中华人民共和国主席令第35号公布，自2011年7月1日起施行）第九十条 社会保险费征收机构擅自更改社会保险费缴费基数、费率，导致少收或者多收社会保险费的，由有关行政部门责令其追缴应当缴纳的社会保险费或者退还不应当缴纳的社会保险费；对直接负责的主管人员和其他直接责任人员依法给予处分。</w:t>
            </w:r>
          </w:p>
        </w:tc>
        <w:tc>
          <w:tcPr>
            <w:tcW w:w="616" w:type="dxa"/>
            <w:shd w:val="clear" w:color="auto" w:fill="auto"/>
            <w:vAlign w:val="center"/>
          </w:tcPr>
          <w:p w14:paraId="5604BB96">
            <w:pPr>
              <w:widowControl/>
              <w:adjustRightInd w:val="0"/>
              <w:snapToGrid w:val="0"/>
              <w:spacing w:line="140" w:lineRule="exact"/>
              <w:rPr>
                <w:rFonts w:eastAsia="方正书宋_GBK"/>
                <w:snapToGrid w:val="0"/>
                <w:sz w:val="11"/>
                <w:szCs w:val="11"/>
              </w:rPr>
            </w:pPr>
            <w:r>
              <w:rPr>
                <w:rFonts w:eastAsia="方正书宋_GBK"/>
                <w:snapToGrid w:val="0"/>
                <w:sz w:val="11"/>
                <w:szCs w:val="11"/>
              </w:rPr>
              <w:t>设区市人力资源社会保障部门</w:t>
            </w:r>
          </w:p>
        </w:tc>
      </w:tr>
    </w:tbl>
    <w:p w14:paraId="352C35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10" w:usb3="00000000" w:csb0="00040000" w:csb1="00000000"/>
  </w:font>
  <w:font w:name="方正书宋_GBK">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hYjNkNGExYTc0MDQzYmM2MWI3MmI0ZWQyYjMxMTEifQ=="/>
  </w:docVars>
  <w:rsids>
    <w:rsidRoot w:val="00000000"/>
    <w:rsid w:val="277B7AA6"/>
    <w:rsid w:val="3B917A7F"/>
    <w:rsid w:val="3BE67F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60</Pages>
  <Words>27977</Words>
  <Characters>29263</Characters>
  <Lines>0</Lines>
  <Paragraphs>0</Paragraphs>
  <TotalTime>4</TotalTime>
  <ScaleCrop>false</ScaleCrop>
  <LinksUpToDate>false</LinksUpToDate>
  <CharactersWithSpaces>29585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lm</dc:creator>
  <cp:lastModifiedBy>LLK.</cp:lastModifiedBy>
  <dcterms:modified xsi:type="dcterms:W3CDTF">2024-08-19T09:25:43Z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EA4F78E6D76F4FBBB167305E7CAF8939</vt:lpwstr>
  </property>
</Properties>
</file>