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ascii="Times New Roman" w:hAnsi="Times New Roman" w:eastAsia="黑体" w:cs="Times New Roman"/>
          <w:color w:val="auto"/>
          <w:kern w:val="21"/>
          <w:sz w:val="32"/>
          <w:szCs w:val="32"/>
          <w:highlight w:val="none"/>
        </w:rPr>
      </w:pPr>
      <w:r>
        <w:rPr>
          <w:rFonts w:ascii="Times New Roman" w:hAnsi="Times New Roman" w:eastAsia="黑体" w:cs="Times New Roman"/>
          <w:color w:val="auto"/>
          <w:kern w:val="21"/>
          <w:sz w:val="32"/>
          <w:szCs w:val="32"/>
          <w:highlight w:val="none"/>
        </w:rPr>
        <w:t>附件10</w:t>
      </w: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ascii="Times New Roman" w:hAnsi="Times New Roman" w:eastAsia="黑体" w:cs="Times New Roman"/>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方正小标宋简体" w:cs="Times New Roman"/>
          <w:bCs/>
          <w:color w:val="auto"/>
          <w:kern w:val="21"/>
          <w:sz w:val="44"/>
          <w:szCs w:val="44"/>
          <w:highlight w:val="none"/>
        </w:rPr>
      </w:pPr>
      <w:r>
        <w:rPr>
          <w:rFonts w:ascii="Times New Roman" w:hAnsi="Times New Roman" w:eastAsia="方正小标宋简体" w:cs="Times New Roman"/>
          <w:bCs/>
          <w:color w:val="auto"/>
          <w:kern w:val="21"/>
          <w:sz w:val="44"/>
          <w:szCs w:val="44"/>
          <w:highlight w:val="none"/>
        </w:rPr>
        <w:t>广西继续医学教育学分管理规定</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黑体" w:cs="Times New Roman"/>
          <w:color w:val="auto"/>
          <w:kern w:val="21"/>
          <w:sz w:val="32"/>
          <w:szCs w:val="32"/>
          <w:highlight w:val="none"/>
        </w:rPr>
      </w:pPr>
      <w:r>
        <w:rPr>
          <w:rFonts w:ascii="Times New Roman" w:hAnsi="Times New Roman" w:eastAsia="黑体" w:cs="Times New Roman"/>
          <w:color w:val="auto"/>
          <w:kern w:val="21"/>
          <w:sz w:val="32"/>
          <w:szCs w:val="32"/>
          <w:highlight w:val="none"/>
        </w:rPr>
        <w:t>一、学分要求</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继续医学教育实行学分制，要求继续医学教育对象每年参加继续医学教育活动。</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一）县级以上医疗卫生机构医务人员每年达标标准为25分，当年内的I类跟II类学分可以相互补充，补充比例不得超过该类别学分的50%。其中一类不低于2.5分，II类不低于7.5分，总分不低于25分。五年内通过参加国家级继续医学教育项目获得的学分数不得低于10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（二）县级及县级以下医疗卫生机构医务人员每年达标标准为20分，取消县级及县级以下医疗卫生机构医务人员I，II类学分的划分。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（三）乡村医生每年获得的学分数不低于8分。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（四）取消“继续医学教育对象每年获得远程继续医学教育学分不超过10分”的规定。</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b/>
          <w:color w:val="auto"/>
          <w:kern w:val="21"/>
          <w:sz w:val="32"/>
          <w:szCs w:val="32"/>
          <w:highlight w:val="none"/>
        </w:rPr>
      </w:pPr>
      <w:r>
        <w:rPr>
          <w:rFonts w:ascii="Times New Roman" w:hAnsi="Times New Roman" w:eastAsia="仿宋_GB2312" w:cs="Times New Roman"/>
          <w:color w:val="auto"/>
          <w:kern w:val="21"/>
          <w:sz w:val="32"/>
          <w:szCs w:val="32"/>
          <w:highlight w:val="none"/>
        </w:rPr>
        <w:t>　　（五）经单位批准，到外单位进修（含出国培训、援外）6个月及其以上，经考核合格者，视为完成当年规定的25学分（按I类学分5分，Ⅱ类20学分计算，学分所属年度归属进修时段最长的所在年度）；不足6个月的，按每一个月授予II类学分3分计算。</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（六）参加住院医师规范化培训、专科医师规范化培训、助理全科医师培训、累计培训6个月及以上考核合格者，可视为当年继续医学教育学分合格。</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黑体" w:cs="Times New Roman"/>
          <w:color w:val="auto"/>
          <w:kern w:val="21"/>
          <w:sz w:val="32"/>
          <w:szCs w:val="32"/>
          <w:highlight w:val="none"/>
        </w:rPr>
      </w:pPr>
      <w:r>
        <w:rPr>
          <w:rFonts w:ascii="Times New Roman" w:hAnsi="Times New Roman" w:eastAsia="黑体" w:cs="Times New Roman"/>
          <w:color w:val="auto"/>
          <w:kern w:val="21"/>
          <w:sz w:val="32"/>
          <w:szCs w:val="32"/>
          <w:highlight w:val="none"/>
        </w:rPr>
        <w:t>二、学分分类</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继续医学教育的学分分为Ⅰ类学分和Ⅱ类学分两类。</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21"/>
          <w:sz w:val="32"/>
          <w:szCs w:val="32"/>
          <w:highlight w:val="none"/>
        </w:rPr>
      </w:pPr>
      <w:r>
        <w:rPr>
          <w:rFonts w:ascii="Times New Roman" w:hAnsi="Times New Roman" w:eastAsia="楷体_GB2312" w:cs="Times New Roman"/>
          <w:color w:val="auto"/>
          <w:kern w:val="21"/>
          <w:sz w:val="32"/>
          <w:szCs w:val="32"/>
          <w:highlight w:val="none"/>
        </w:rPr>
        <w:t>（一）Ⅰ类学分。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国家级继续医学教育项目和自治区（省）级继续医学教育项目可授予I类学分。</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b/>
          <w:bCs/>
          <w:color w:val="auto"/>
          <w:kern w:val="21"/>
          <w:sz w:val="32"/>
          <w:szCs w:val="32"/>
          <w:highlight w:val="none"/>
        </w:rPr>
        <w:t>　</w:t>
      </w:r>
      <w:r>
        <w:rPr>
          <w:rFonts w:ascii="Times New Roman" w:hAnsi="Times New Roman" w:eastAsia="仿宋_GB2312" w:cs="Times New Roman"/>
          <w:color w:val="auto"/>
          <w:kern w:val="21"/>
          <w:sz w:val="32"/>
          <w:szCs w:val="32"/>
          <w:highlight w:val="none"/>
        </w:rPr>
        <w:t>　1.国家级继续医学教育项目。</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（1）全国继续医学教育委员会评审，由国家卫生健康委员会批准和公布的项目。</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（2）国家级继续医学教育基地举办，由国家卫生健康委员会公布的项目。</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2.自治区级继续医学教育项目。</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（1）广西继续医学教育委员会评审，由广西壮族自治区卫生健康委员会批准和公布的项目。</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（2）自治区级继续医学教育基地举办，由广西壮族自治区卫生健康委员会评审公布的项目。</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（3）中华医学会、中华口腔学会、中华预防医学会、中华护理学会等一级学科学会及全国继续医学教育委员会批准的远程医学教育机构向广西壮族自治区继续医学教育委员会备案的项目。</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21"/>
          <w:sz w:val="32"/>
          <w:szCs w:val="32"/>
          <w:highlight w:val="none"/>
        </w:rPr>
      </w:pPr>
      <w:r>
        <w:rPr>
          <w:rFonts w:ascii="Times New Roman" w:hAnsi="Times New Roman" w:eastAsia="楷体_GB2312" w:cs="Times New Roman"/>
          <w:color w:val="auto"/>
          <w:kern w:val="21"/>
          <w:sz w:val="32"/>
          <w:szCs w:val="32"/>
          <w:highlight w:val="none"/>
        </w:rPr>
        <w:t>（二）Ⅱ类学分。</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自学、发表论文、科研立项、科技成果和单位组织的学术活动等其它形式的继续医学教育活动授予Ⅱ类学分。</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黑体" w:cs="Times New Roman"/>
          <w:color w:val="auto"/>
          <w:kern w:val="21"/>
          <w:sz w:val="32"/>
          <w:szCs w:val="32"/>
          <w:highlight w:val="none"/>
        </w:rPr>
      </w:pPr>
      <w:r>
        <w:rPr>
          <w:rFonts w:ascii="Times New Roman" w:hAnsi="Times New Roman" w:eastAsia="黑体" w:cs="Times New Roman"/>
          <w:color w:val="auto"/>
          <w:kern w:val="21"/>
          <w:sz w:val="32"/>
          <w:szCs w:val="32"/>
          <w:highlight w:val="none"/>
        </w:rPr>
        <w:t>　　三、学分授予标准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21"/>
          <w:sz w:val="32"/>
          <w:szCs w:val="32"/>
          <w:highlight w:val="none"/>
        </w:rPr>
      </w:pPr>
      <w:r>
        <w:rPr>
          <w:rFonts w:ascii="Times New Roman" w:hAnsi="Times New Roman" w:eastAsia="楷体_GB2312" w:cs="Times New Roman"/>
          <w:color w:val="auto"/>
          <w:kern w:val="21"/>
          <w:sz w:val="32"/>
          <w:szCs w:val="32"/>
          <w:highlight w:val="none"/>
        </w:rPr>
        <w:t>（一）I类学分计算方法。</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1.参加国家级继续医学教育项目活动，参加者经考核合格，按3学时授予1学分；主讲人每学时授予2学分。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color w:val="auto"/>
          <w:kern w:val="21"/>
          <w:sz w:val="32"/>
          <w:szCs w:val="32"/>
          <w:highlight w:val="none"/>
        </w:rPr>
      </w:pPr>
      <w:r>
        <w:rPr>
          <w:rFonts w:ascii="Times New Roman" w:hAnsi="Times New Roman" w:eastAsia="仿宋_GB2312" w:cs="Times New Roman"/>
          <w:color w:val="auto"/>
          <w:kern w:val="21"/>
          <w:sz w:val="32"/>
          <w:szCs w:val="32"/>
          <w:highlight w:val="none"/>
        </w:rPr>
        <w:t>2.参加自治区（省）级继续医学教育项目活动，参加者经考核合格，按6学时授予1学分。每天最多按10学时计算学分，不包括学员签到和撤离时间。主讲人按每学时授予1学分。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3.上述1、2中每个项目所授学分最多不超过10学分。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21"/>
          <w:sz w:val="32"/>
          <w:szCs w:val="32"/>
          <w:highlight w:val="none"/>
        </w:rPr>
      </w:pPr>
      <w:r>
        <w:rPr>
          <w:rFonts w:ascii="Times New Roman" w:hAnsi="Times New Roman" w:eastAsia="楷体_GB2312" w:cs="Times New Roman"/>
          <w:color w:val="auto"/>
          <w:kern w:val="21"/>
          <w:sz w:val="32"/>
          <w:szCs w:val="32"/>
          <w:highlight w:val="none"/>
        </w:rPr>
        <w:t>（二）Ⅱ类学分计算方法。</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1.自学。自学是继续医学教育的一种重要形式，凡自学与本学科专业有关的知识者，应制定出自学计划，经本科室领导同意后执行。并写出综述，经审核，每2000字可授予1学分，但每年最多不超过5学分。</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2.由全国继续医学教育委员会或广西继续医学教育委员会制定或指定的杂志、音像、光盘等形式的有关四新的自学资料，学习后经考核，按委员会规定的学分授予标准授予学分，每年最多不超过5学分。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3.在刊物上发表论文和综述，按以下类别计算学分：</w:t>
      </w:r>
    </w:p>
    <w:tbl>
      <w:tblPr>
        <w:tblStyle w:val="2"/>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1367"/>
        <w:gridCol w:w="1483"/>
        <w:gridCol w:w="1467"/>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刊物类别</w:t>
            </w:r>
          </w:p>
        </w:tc>
        <w:tc>
          <w:tcPr>
            <w:tcW w:w="13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第一作者</w:t>
            </w:r>
          </w:p>
        </w:tc>
        <w:tc>
          <w:tcPr>
            <w:tcW w:w="148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第二作者</w:t>
            </w:r>
          </w:p>
        </w:tc>
        <w:tc>
          <w:tcPr>
            <w:tcW w:w="14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第三作者</w:t>
            </w:r>
          </w:p>
        </w:tc>
        <w:tc>
          <w:tcPr>
            <w:tcW w:w="106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余类推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国外刊物</w:t>
            </w:r>
          </w:p>
        </w:tc>
        <w:tc>
          <w:tcPr>
            <w:tcW w:w="13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10</w:t>
            </w:r>
          </w:p>
        </w:tc>
        <w:tc>
          <w:tcPr>
            <w:tcW w:w="148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9</w:t>
            </w:r>
          </w:p>
        </w:tc>
        <w:tc>
          <w:tcPr>
            <w:tcW w:w="14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8</w:t>
            </w:r>
          </w:p>
        </w:tc>
        <w:tc>
          <w:tcPr>
            <w:tcW w:w="106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83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具有国际标准刊号（ISSN）国内统一刊号（CN）的刊物</w:t>
            </w:r>
          </w:p>
        </w:tc>
        <w:tc>
          <w:tcPr>
            <w:tcW w:w="13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6</w:t>
            </w:r>
          </w:p>
        </w:tc>
        <w:tc>
          <w:tcPr>
            <w:tcW w:w="148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5</w:t>
            </w:r>
          </w:p>
        </w:tc>
        <w:tc>
          <w:tcPr>
            <w:tcW w:w="14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4</w:t>
            </w:r>
          </w:p>
        </w:tc>
        <w:tc>
          <w:tcPr>
            <w:tcW w:w="106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省级刊物</w:t>
            </w:r>
          </w:p>
        </w:tc>
        <w:tc>
          <w:tcPr>
            <w:tcW w:w="13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5</w:t>
            </w:r>
          </w:p>
        </w:tc>
        <w:tc>
          <w:tcPr>
            <w:tcW w:w="148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4</w:t>
            </w:r>
          </w:p>
        </w:tc>
        <w:tc>
          <w:tcPr>
            <w:tcW w:w="14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3</w:t>
            </w:r>
          </w:p>
        </w:tc>
        <w:tc>
          <w:tcPr>
            <w:tcW w:w="106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地（市）级刊物</w:t>
            </w:r>
          </w:p>
        </w:tc>
        <w:tc>
          <w:tcPr>
            <w:tcW w:w="13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4</w:t>
            </w:r>
          </w:p>
        </w:tc>
        <w:tc>
          <w:tcPr>
            <w:tcW w:w="148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3</w:t>
            </w:r>
          </w:p>
        </w:tc>
        <w:tc>
          <w:tcPr>
            <w:tcW w:w="14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2</w:t>
            </w:r>
          </w:p>
        </w:tc>
        <w:tc>
          <w:tcPr>
            <w:tcW w:w="106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内部刊物</w:t>
            </w:r>
          </w:p>
        </w:tc>
        <w:tc>
          <w:tcPr>
            <w:tcW w:w="13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2</w:t>
            </w:r>
          </w:p>
        </w:tc>
        <w:tc>
          <w:tcPr>
            <w:tcW w:w="148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1</w:t>
            </w:r>
          </w:p>
        </w:tc>
        <w:tc>
          <w:tcPr>
            <w:tcW w:w="1467"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p>
        </w:tc>
        <w:tc>
          <w:tcPr>
            <w:tcW w:w="1063" w:type="dxa"/>
            <w:vAlign w:val="center"/>
          </w:tcPr>
          <w:p>
            <w:pPr>
              <w:keepNext w:val="0"/>
              <w:keepLines w:val="0"/>
              <w:pageBreakBefore w:val="0"/>
              <w:widowControl w:val="0"/>
              <w:kinsoku/>
              <w:wordWrap w:val="0"/>
              <w:overflowPunct/>
              <w:topLinePunct/>
              <w:autoSpaceDE/>
              <w:autoSpaceDN/>
              <w:bidi w:val="0"/>
              <w:adjustRightInd/>
              <w:snapToGrid/>
              <w:spacing w:line="360" w:lineRule="exact"/>
              <w:jc w:val="center"/>
              <w:textAlignment w:val="auto"/>
              <w:rPr>
                <w:rFonts w:ascii="Times New Roman" w:hAnsi="Times New Roman" w:eastAsia="仿宋_GB2312" w:cs="Times New Roman"/>
                <w:color w:val="auto"/>
                <w:kern w:val="21"/>
                <w:sz w:val="28"/>
                <w:szCs w:val="28"/>
                <w:highlight w:val="none"/>
              </w:rPr>
            </w:pPr>
          </w:p>
        </w:tc>
      </w:tr>
    </w:tbl>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4.科研项目：</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已批准立项的科研项目，在立项当年按以下标准授予学分：</w:t>
      </w:r>
    </w:p>
    <w:tbl>
      <w:tblPr>
        <w:tblStyle w:val="2"/>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1016"/>
        <w:gridCol w:w="1016"/>
        <w:gridCol w:w="1049"/>
        <w:gridCol w:w="1016"/>
        <w:gridCol w:w="101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黑体" w:cs="Times New Roman"/>
                <w:color w:val="auto"/>
                <w:kern w:val="21"/>
                <w:sz w:val="28"/>
                <w:szCs w:val="28"/>
                <w:highlight w:val="none"/>
              </w:rPr>
            </w:pPr>
          </w:p>
        </w:tc>
        <w:tc>
          <w:tcPr>
            <w:tcW w:w="5113" w:type="dxa"/>
            <w:gridSpan w:val="5"/>
          </w:tcPr>
          <w:p>
            <w:pPr>
              <w:keepNext w:val="0"/>
              <w:keepLines w:val="0"/>
              <w:pageBreakBefore w:val="0"/>
              <w:widowControl w:val="0"/>
              <w:kinsoku/>
              <w:wordWrap w:val="0"/>
              <w:overflowPunct/>
              <w:topLinePunct/>
              <w:autoSpaceDE/>
              <w:autoSpaceDN/>
              <w:bidi w:val="0"/>
              <w:adjustRightInd/>
              <w:snapToGrid/>
              <w:spacing w:line="560" w:lineRule="exact"/>
              <w:ind w:firstLine="1120" w:firstLineChars="400"/>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课题组成员排序</w:t>
            </w:r>
          </w:p>
        </w:tc>
        <w:tc>
          <w:tcPr>
            <w:tcW w:w="159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余类推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课题类别</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1</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2</w:t>
            </w:r>
          </w:p>
        </w:tc>
        <w:tc>
          <w:tcPr>
            <w:tcW w:w="1049"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3</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4</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5</w:t>
            </w:r>
          </w:p>
        </w:tc>
        <w:tc>
          <w:tcPr>
            <w:tcW w:w="1596"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国家级课题</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10</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9</w:t>
            </w:r>
          </w:p>
        </w:tc>
        <w:tc>
          <w:tcPr>
            <w:tcW w:w="1049"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8</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7</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6</w:t>
            </w:r>
          </w:p>
        </w:tc>
        <w:tc>
          <w:tcPr>
            <w:tcW w:w="1596"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省、部级课题</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8</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7</w:t>
            </w:r>
          </w:p>
        </w:tc>
        <w:tc>
          <w:tcPr>
            <w:tcW w:w="1049"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6</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5</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4</w:t>
            </w:r>
          </w:p>
        </w:tc>
        <w:tc>
          <w:tcPr>
            <w:tcW w:w="1596"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7"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市、厅级课题</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6</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5</w:t>
            </w:r>
          </w:p>
        </w:tc>
        <w:tc>
          <w:tcPr>
            <w:tcW w:w="1049"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4</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3</w:t>
            </w:r>
          </w:p>
        </w:tc>
        <w:tc>
          <w:tcPr>
            <w:tcW w:w="101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2</w:t>
            </w:r>
          </w:p>
        </w:tc>
        <w:tc>
          <w:tcPr>
            <w:tcW w:w="1596"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p>
        </w:tc>
      </w:tr>
    </w:tbl>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5.科研成果：</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（1）国家级成果奖　第1</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第7完成人（余类推）</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一等奖　25</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19（最低10分）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二等奖　20</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14（最低8分）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三等奖　18</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12（最低6分）</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（2）省（部）级成果奖　第1</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第5完成人（余类推）</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一等奖　15</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11（最低6分）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二等奖　10</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6（最低5分）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三等奖　8</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4（最低3分）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（3）厅级成果奖　第1</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第5完成人（余类推）</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一等奖　10</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6（最低5分）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二等奖　8</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4（最低4分）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三等奖　6</w:t>
      </w:r>
      <w:r>
        <w:rPr>
          <w:rFonts w:hint="eastAsia" w:ascii="Times New Roman" w:hAnsi="Times New Roman" w:eastAsia="仿宋_GB2312" w:cs="Times New Roman"/>
          <w:color w:val="auto"/>
          <w:kern w:val="21"/>
          <w:sz w:val="32"/>
          <w:szCs w:val="32"/>
          <w:highlight w:val="none"/>
          <w:lang w:eastAsia="zh-CN"/>
        </w:rPr>
        <w:t>—</w:t>
      </w:r>
      <w:r>
        <w:rPr>
          <w:rFonts w:ascii="Times New Roman" w:hAnsi="Times New Roman" w:eastAsia="仿宋_GB2312" w:cs="Times New Roman"/>
          <w:color w:val="auto"/>
          <w:kern w:val="21"/>
          <w:sz w:val="32"/>
          <w:szCs w:val="32"/>
          <w:highlight w:val="none"/>
        </w:rPr>
        <w:t>2（最低2分）</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6.出版医学著作，每编写1000字授予1学分。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7.出国考察报告、国内专题调研报告，每3000字授予1学分。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8.发表医学译文每1500汉字授予1学分。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9.由单位组织的学术报告、专题讲座、技术操作示教、手术示范、新技术推广等，每次主讲人可授予</w:t>
      </w:r>
      <w:r>
        <w:rPr>
          <w:rFonts w:ascii="Times New Roman" w:hAnsi="Times New Roman" w:eastAsia="仿宋_GB2312" w:cs="Times New Roman"/>
          <w:b/>
          <w:color w:val="auto"/>
          <w:kern w:val="21"/>
          <w:sz w:val="32"/>
          <w:szCs w:val="32"/>
          <w:highlight w:val="none"/>
        </w:rPr>
        <w:t>2</w:t>
      </w:r>
      <w:r>
        <w:rPr>
          <w:rFonts w:ascii="Times New Roman" w:hAnsi="Times New Roman" w:eastAsia="仿宋_GB2312" w:cs="Times New Roman"/>
          <w:color w:val="auto"/>
          <w:kern w:val="21"/>
          <w:sz w:val="32"/>
          <w:szCs w:val="32"/>
          <w:highlight w:val="none"/>
        </w:rPr>
        <w:t>学分，参加者授予0.5学分，全年所获得的该类学分，最多不超过</w:t>
      </w:r>
      <w:r>
        <w:rPr>
          <w:rFonts w:ascii="Times New Roman" w:hAnsi="Times New Roman" w:eastAsia="仿宋_GB2312" w:cs="Times New Roman"/>
          <w:b/>
          <w:color w:val="auto"/>
          <w:kern w:val="21"/>
          <w:sz w:val="32"/>
          <w:szCs w:val="32"/>
          <w:highlight w:val="none"/>
        </w:rPr>
        <w:t>8</w:t>
      </w:r>
      <w:r>
        <w:rPr>
          <w:rFonts w:ascii="Times New Roman" w:hAnsi="Times New Roman" w:eastAsia="仿宋_GB2312" w:cs="Times New Roman"/>
          <w:color w:val="auto"/>
          <w:kern w:val="21"/>
          <w:sz w:val="32"/>
          <w:szCs w:val="32"/>
          <w:highlight w:val="none"/>
        </w:rPr>
        <w:t>学分。临床病理讨论会、多科室组织的案例讨论会、大查房，每次主讲人可授予</w:t>
      </w:r>
      <w:r>
        <w:rPr>
          <w:rFonts w:ascii="Times New Roman" w:hAnsi="Times New Roman" w:eastAsia="仿宋_GB2312" w:cs="Times New Roman"/>
          <w:b/>
          <w:color w:val="auto"/>
          <w:kern w:val="21"/>
          <w:sz w:val="32"/>
          <w:szCs w:val="32"/>
          <w:highlight w:val="none"/>
        </w:rPr>
        <w:t>0.5</w:t>
      </w:r>
      <w:r>
        <w:rPr>
          <w:rFonts w:ascii="Times New Roman" w:hAnsi="Times New Roman" w:eastAsia="仿宋_GB2312" w:cs="Times New Roman"/>
          <w:color w:val="auto"/>
          <w:kern w:val="21"/>
          <w:sz w:val="32"/>
          <w:szCs w:val="32"/>
          <w:highlight w:val="none"/>
        </w:rPr>
        <w:t>学分，参加者授予0.2学分。参加者全年所获得的该类学分，最多不超过</w:t>
      </w:r>
      <w:r>
        <w:rPr>
          <w:rFonts w:ascii="Times New Roman" w:hAnsi="Times New Roman" w:eastAsia="仿宋_GB2312" w:cs="Times New Roman"/>
          <w:b/>
          <w:color w:val="auto"/>
          <w:kern w:val="21"/>
          <w:sz w:val="32"/>
          <w:szCs w:val="32"/>
          <w:highlight w:val="none"/>
        </w:rPr>
        <w:t>8</w:t>
      </w:r>
      <w:r>
        <w:rPr>
          <w:rFonts w:ascii="Times New Roman" w:hAnsi="Times New Roman" w:eastAsia="仿宋_GB2312" w:cs="Times New Roman"/>
          <w:color w:val="auto"/>
          <w:kern w:val="21"/>
          <w:sz w:val="32"/>
          <w:szCs w:val="32"/>
          <w:highlight w:val="none"/>
        </w:rPr>
        <w:t>学分。</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10.学术会议以下类别计算学分：</w:t>
      </w:r>
    </w:p>
    <w:tbl>
      <w:tblPr>
        <w:tblStyle w:val="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701"/>
        <w:gridCol w:w="1560"/>
        <w:gridCol w:w="170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会议类别</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第一作者</w:t>
            </w:r>
          </w:p>
        </w:tc>
        <w:tc>
          <w:tcPr>
            <w:tcW w:w="1560"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第二作者</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第三作者</w:t>
            </w:r>
          </w:p>
        </w:tc>
        <w:tc>
          <w:tcPr>
            <w:tcW w:w="1275"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黑体" w:cs="Times New Roman"/>
                <w:color w:val="auto"/>
                <w:kern w:val="21"/>
                <w:sz w:val="28"/>
                <w:szCs w:val="28"/>
                <w:highlight w:val="none"/>
              </w:rPr>
            </w:pPr>
            <w:r>
              <w:rPr>
                <w:rFonts w:ascii="Times New Roman" w:hAnsi="Times New Roman" w:eastAsia="黑体" w:cs="Times New Roman"/>
                <w:color w:val="auto"/>
                <w:kern w:val="21"/>
                <w:sz w:val="28"/>
                <w:szCs w:val="28"/>
                <w:highlight w:val="none"/>
              </w:rPr>
              <w:t>余类推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国际会议</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8</w:t>
            </w:r>
          </w:p>
        </w:tc>
        <w:tc>
          <w:tcPr>
            <w:tcW w:w="1560"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7</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6</w:t>
            </w:r>
          </w:p>
        </w:tc>
        <w:tc>
          <w:tcPr>
            <w:tcW w:w="1275"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全国会议</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6</w:t>
            </w:r>
          </w:p>
        </w:tc>
        <w:tc>
          <w:tcPr>
            <w:tcW w:w="1560"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5</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4</w:t>
            </w:r>
          </w:p>
        </w:tc>
        <w:tc>
          <w:tcPr>
            <w:tcW w:w="1275"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76"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行政区级会议</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5</w:t>
            </w:r>
          </w:p>
        </w:tc>
        <w:tc>
          <w:tcPr>
            <w:tcW w:w="1560"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4</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3</w:t>
            </w:r>
          </w:p>
        </w:tc>
        <w:tc>
          <w:tcPr>
            <w:tcW w:w="1275"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省级会议</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4</w:t>
            </w:r>
          </w:p>
        </w:tc>
        <w:tc>
          <w:tcPr>
            <w:tcW w:w="1560"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3</w:t>
            </w:r>
          </w:p>
        </w:tc>
        <w:tc>
          <w:tcPr>
            <w:tcW w:w="1701" w:type="dxa"/>
          </w:tcPr>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Times New Roman" w:hAnsi="Times New Roman" w:eastAsia="仿宋_GB2312" w:cs="Times New Roman"/>
                <w:color w:val="auto"/>
                <w:kern w:val="21"/>
                <w:sz w:val="28"/>
                <w:szCs w:val="28"/>
                <w:highlight w:val="none"/>
              </w:rPr>
            </w:pPr>
            <w:r>
              <w:rPr>
                <w:rFonts w:ascii="Times New Roman" w:hAnsi="Times New Roman" w:eastAsia="仿宋_GB2312" w:cs="Times New Roman"/>
                <w:color w:val="auto"/>
                <w:kern w:val="21"/>
                <w:sz w:val="28"/>
                <w:szCs w:val="28"/>
                <w:highlight w:val="none"/>
              </w:rPr>
              <w:t>2</w:t>
            </w:r>
          </w:p>
        </w:tc>
        <w:tc>
          <w:tcPr>
            <w:tcW w:w="1275" w:type="dxa"/>
          </w:tcPr>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28"/>
                <w:szCs w:val="28"/>
                <w:highlight w:val="none"/>
              </w:rPr>
            </w:pPr>
          </w:p>
        </w:tc>
      </w:tr>
    </w:tbl>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　　在会上宣读论文者，按上述标准给分，书面展出和摘要等的作者，授予总分2学分，仅列标题者授予总分1学分。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1"/>
          <w:sz w:val="32"/>
          <w:szCs w:val="32"/>
          <w:highlight w:val="none"/>
        </w:rPr>
      </w:pPr>
      <w:r>
        <w:rPr>
          <w:rFonts w:ascii="Times New Roman" w:hAnsi="Times New Roman" w:eastAsia="仿宋_GB2312" w:cs="Times New Roman"/>
          <w:color w:val="auto"/>
          <w:kern w:val="21"/>
          <w:sz w:val="32"/>
          <w:szCs w:val="32"/>
          <w:highlight w:val="none"/>
        </w:rPr>
        <w:t>Ⅱ类学分由单位主管继续医学教育部门负责审核，各地市卫健委负责监督。</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楷体_GB2312" w:cs="Times New Roman"/>
          <w:color w:val="auto"/>
          <w:kern w:val="21"/>
          <w:sz w:val="32"/>
          <w:szCs w:val="32"/>
          <w:highlight w:val="none"/>
        </w:rPr>
      </w:pPr>
      <w:r>
        <w:rPr>
          <w:rFonts w:ascii="Times New Roman" w:hAnsi="Times New Roman" w:eastAsia="楷体_GB2312" w:cs="Times New Roman"/>
          <w:color w:val="auto"/>
          <w:kern w:val="21"/>
          <w:sz w:val="32"/>
          <w:szCs w:val="32"/>
          <w:highlight w:val="none"/>
        </w:rPr>
        <w:t>　　（三）现代远程继续医学教育学分。</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Times New Roman" w:hAnsi="Times New Roman" w:eastAsia="仿宋_GB2312" w:cs="Times New Roman"/>
          <w:b/>
          <w:bCs/>
          <w:color w:val="auto"/>
          <w:kern w:val="21"/>
          <w:sz w:val="32"/>
          <w:szCs w:val="32"/>
          <w:highlight w:val="none"/>
        </w:rPr>
      </w:pPr>
      <w:r>
        <w:rPr>
          <w:rFonts w:ascii="Times New Roman" w:hAnsi="Times New Roman" w:eastAsia="仿宋_GB2312" w:cs="Times New Roman"/>
          <w:color w:val="auto"/>
          <w:kern w:val="21"/>
          <w:sz w:val="32"/>
          <w:szCs w:val="32"/>
          <w:highlight w:val="none"/>
        </w:rPr>
        <w:t>　　远程继续医学教育学分的授予按该项目所属项目级别及其授分标准执行；编制远程教育课件的项目，按该继续医学教育项目所属级别及其授予管理规定授分。</w:t>
      </w:r>
    </w:p>
    <w:p>
      <w:pPr>
        <w:keepNext w:val="0"/>
        <w:keepLines w:val="0"/>
        <w:pageBreakBefore w:val="0"/>
        <w:widowControl w:val="0"/>
        <w:kinsoku/>
        <w:wordWrap w:val="0"/>
        <w:overflowPunct/>
        <w:topLinePunct/>
        <w:autoSpaceDE/>
        <w:autoSpaceDN/>
        <w:bidi w:val="0"/>
        <w:adjustRightInd/>
        <w:snapToGrid/>
        <w:spacing w:after="0" w:line="560" w:lineRule="exact"/>
        <w:jc w:val="both"/>
        <w:textAlignment w:val="auto"/>
        <w:rPr>
          <w:rFonts w:ascii="Times New Roman" w:hAnsi="Times New Roman" w:eastAsia="黑体" w:cs="Times New Roman"/>
          <w:color w:val="auto"/>
          <w:kern w:val="21"/>
          <w:sz w:val="32"/>
          <w:szCs w:val="32"/>
          <w:highlight w:val="none"/>
          <w:lang w:val="zh-TW" w:eastAsia="zh-TW" w:bidi="zh-TW"/>
        </w:rPr>
      </w:pPr>
      <w:r>
        <w:rPr>
          <w:rFonts w:ascii="Times New Roman" w:hAnsi="Times New Roman" w:eastAsia="黑体" w:cs="Times New Roman"/>
          <w:color w:val="auto"/>
          <w:kern w:val="21"/>
          <w:sz w:val="32"/>
          <w:szCs w:val="32"/>
          <w:highlight w:val="none"/>
          <w:lang w:val="zh-TW" w:eastAsia="zh-CN" w:bidi="zh-TW"/>
        </w:rPr>
        <w:t>　　四</w:t>
      </w:r>
      <w:r>
        <w:rPr>
          <w:rFonts w:ascii="Times New Roman" w:hAnsi="Times New Roman" w:eastAsia="黑体" w:cs="Times New Roman"/>
          <w:color w:val="auto"/>
          <w:kern w:val="21"/>
          <w:sz w:val="32"/>
          <w:szCs w:val="32"/>
          <w:highlight w:val="none"/>
          <w:lang w:val="zh-TW" w:eastAsia="zh-TW" w:bidi="zh-TW"/>
        </w:rPr>
        <w:t>、学分验证</w:t>
      </w:r>
    </w:p>
    <w:p>
      <w:pPr>
        <w:keepNext w:val="0"/>
        <w:keepLines w:val="0"/>
        <w:pageBreakBefore w:val="0"/>
        <w:widowControl w:val="0"/>
        <w:kinsoku/>
        <w:wordWrap w:val="0"/>
        <w:overflowPunct/>
        <w:topLinePunct/>
        <w:autoSpaceDE/>
        <w:autoSpaceDN/>
        <w:bidi w:val="0"/>
        <w:adjustRightInd/>
        <w:snapToGrid/>
        <w:spacing w:after="0" w:line="560" w:lineRule="exact"/>
        <w:jc w:val="both"/>
        <w:textAlignment w:val="auto"/>
        <w:rPr>
          <w:rFonts w:ascii="Times New Roman" w:hAnsi="Times New Roman" w:eastAsia="仿宋_GB2312" w:cs="Times New Roman"/>
          <w:bCs/>
          <w:color w:val="auto"/>
          <w:kern w:val="21"/>
          <w:sz w:val="32"/>
          <w:szCs w:val="32"/>
          <w:highlight w:val="none"/>
          <w:lang w:val="zh-TW" w:eastAsia="zh-TW" w:bidi="zh-TW"/>
        </w:rPr>
      </w:pPr>
      <w:r>
        <w:rPr>
          <w:rFonts w:ascii="Times New Roman" w:hAnsi="Times New Roman" w:eastAsia="仿宋_GB2312" w:cs="Times New Roman"/>
          <w:color w:val="auto"/>
          <w:kern w:val="21"/>
          <w:sz w:val="32"/>
          <w:szCs w:val="32"/>
          <w:highlight w:val="none"/>
          <w:lang w:val="zh-TW" w:eastAsia="zh-CN" w:bidi="zh-TW"/>
        </w:rPr>
        <w:t>　　</w:t>
      </w:r>
      <w:r>
        <w:rPr>
          <w:rFonts w:ascii="Times New Roman" w:hAnsi="Times New Roman" w:eastAsia="仿宋_GB2312" w:cs="Times New Roman"/>
          <w:color w:val="auto"/>
          <w:kern w:val="21"/>
          <w:sz w:val="32"/>
          <w:szCs w:val="32"/>
          <w:highlight w:val="none"/>
          <w:lang w:val="zh-TW" w:eastAsia="zh-TW" w:bidi="zh-TW"/>
        </w:rPr>
        <w:t>（</w:t>
      </w:r>
      <w:r>
        <w:rPr>
          <w:rFonts w:ascii="Times New Roman" w:hAnsi="Times New Roman" w:eastAsia="仿宋_GB2312" w:cs="Times New Roman"/>
          <w:color w:val="auto"/>
          <w:kern w:val="21"/>
          <w:sz w:val="32"/>
          <w:szCs w:val="32"/>
          <w:highlight w:val="none"/>
          <w:lang w:val="zh-TW" w:eastAsia="zh-CN" w:bidi="zh-TW"/>
        </w:rPr>
        <w:t>一</w:t>
      </w:r>
      <w:r>
        <w:rPr>
          <w:rFonts w:ascii="Times New Roman" w:hAnsi="Times New Roman" w:eastAsia="仿宋_GB2312" w:cs="Times New Roman"/>
          <w:color w:val="auto"/>
          <w:kern w:val="21"/>
          <w:sz w:val="32"/>
          <w:szCs w:val="32"/>
          <w:highlight w:val="none"/>
          <w:lang w:val="zh-TW" w:eastAsia="zh-TW" w:bidi="zh-TW"/>
        </w:rPr>
        <w:t>）</w:t>
      </w:r>
      <w:r>
        <w:rPr>
          <w:rFonts w:ascii="Times New Roman" w:hAnsi="Times New Roman" w:eastAsia="仿宋_GB2312" w:cs="Times New Roman"/>
          <w:bCs/>
          <w:color w:val="auto"/>
          <w:kern w:val="21"/>
          <w:sz w:val="32"/>
          <w:szCs w:val="32"/>
          <w:highlight w:val="none"/>
          <w:lang w:val="zh-TW" w:eastAsia="zh-CN" w:bidi="zh-TW"/>
        </w:rPr>
        <w:t>广西</w:t>
      </w:r>
      <w:r>
        <w:rPr>
          <w:rFonts w:ascii="Times New Roman" w:hAnsi="Times New Roman" w:eastAsia="仿宋_GB2312" w:cs="Times New Roman"/>
          <w:bCs/>
          <w:color w:val="auto"/>
          <w:kern w:val="21"/>
          <w:sz w:val="32"/>
          <w:szCs w:val="32"/>
          <w:highlight w:val="none"/>
          <w:lang w:val="zh-TW" w:eastAsia="zh-TW" w:bidi="zh-TW"/>
        </w:rPr>
        <w:t>继续医学教育委员会</w:t>
      </w:r>
      <w:r>
        <w:rPr>
          <w:rFonts w:ascii="Times New Roman" w:hAnsi="Times New Roman" w:eastAsia="仿宋_GB2312" w:cs="Times New Roman"/>
          <w:bCs/>
          <w:color w:val="auto"/>
          <w:kern w:val="21"/>
          <w:sz w:val="32"/>
          <w:szCs w:val="32"/>
          <w:highlight w:val="none"/>
          <w:lang w:val="zh-TW" w:eastAsia="zh-CN" w:bidi="zh-TW"/>
        </w:rPr>
        <w:t>办公室</w:t>
      </w:r>
      <w:r>
        <w:rPr>
          <w:rFonts w:ascii="Times New Roman" w:hAnsi="Times New Roman" w:eastAsia="仿宋_GB2312" w:cs="Times New Roman"/>
          <w:bCs/>
          <w:color w:val="auto"/>
          <w:kern w:val="21"/>
          <w:sz w:val="32"/>
          <w:szCs w:val="32"/>
          <w:highlight w:val="none"/>
          <w:lang w:val="zh-TW" w:eastAsia="zh-TW" w:bidi="zh-TW"/>
        </w:rPr>
        <w:t>负责对</w:t>
      </w:r>
      <w:r>
        <w:rPr>
          <w:rFonts w:ascii="Times New Roman" w:hAnsi="Times New Roman" w:eastAsia="仿宋_GB2312" w:cs="Times New Roman"/>
          <w:bCs/>
          <w:color w:val="auto"/>
          <w:kern w:val="21"/>
          <w:sz w:val="32"/>
          <w:szCs w:val="32"/>
          <w:highlight w:val="none"/>
          <w:lang w:val="zh-TW" w:eastAsia="zh-CN" w:bidi="zh-TW"/>
        </w:rPr>
        <w:t>全区内</w:t>
      </w:r>
      <w:r>
        <w:rPr>
          <w:rFonts w:ascii="Times New Roman" w:hAnsi="Times New Roman" w:eastAsia="仿宋_GB2312" w:cs="Times New Roman"/>
          <w:bCs/>
          <w:color w:val="auto"/>
          <w:kern w:val="21"/>
          <w:sz w:val="32"/>
          <w:szCs w:val="32"/>
          <w:highlight w:val="none"/>
          <w:lang w:val="zh-TW" w:eastAsia="zh-TW" w:bidi="zh-TW"/>
        </w:rPr>
        <w:t>医疗卫生计生专业技术人员</w:t>
      </w:r>
      <w:r>
        <w:rPr>
          <w:rFonts w:ascii="Times New Roman" w:hAnsi="Times New Roman" w:eastAsia="仿宋_GB2312" w:cs="Times New Roman"/>
          <w:bCs/>
          <w:color w:val="auto"/>
          <w:kern w:val="21"/>
          <w:sz w:val="32"/>
          <w:szCs w:val="32"/>
          <w:highlight w:val="none"/>
          <w:lang w:val="zh-TW" w:eastAsia="zh-CN" w:bidi="zh-TW"/>
        </w:rPr>
        <w:t>获得的国家级和区级</w:t>
      </w:r>
      <w:r>
        <w:rPr>
          <w:rFonts w:ascii="Times New Roman" w:hAnsi="Times New Roman" w:eastAsia="仿宋_GB2312" w:cs="Times New Roman"/>
          <w:bCs/>
          <w:color w:val="auto"/>
          <w:kern w:val="21"/>
          <w:sz w:val="32"/>
          <w:szCs w:val="32"/>
          <w:highlight w:val="none"/>
          <w:lang w:val="zh-TW" w:eastAsia="zh-TW" w:bidi="zh-TW"/>
        </w:rPr>
        <w:t>继续医学教育</w:t>
      </w:r>
      <w:r>
        <w:rPr>
          <w:rFonts w:ascii="Times New Roman" w:hAnsi="Times New Roman" w:eastAsia="仿宋_GB2312" w:cs="Times New Roman"/>
          <w:bCs/>
          <w:color w:val="auto"/>
          <w:kern w:val="21"/>
          <w:sz w:val="32"/>
          <w:szCs w:val="32"/>
          <w:highlight w:val="none"/>
          <w:lang w:val="zh-TW" w:eastAsia="zh-CN" w:bidi="zh-TW"/>
        </w:rPr>
        <w:t>项目</w:t>
      </w:r>
      <w:r>
        <w:rPr>
          <w:rFonts w:ascii="Times New Roman" w:hAnsi="Times New Roman" w:eastAsia="仿宋_GB2312" w:cs="Times New Roman"/>
          <w:color w:val="auto"/>
          <w:kern w:val="21"/>
          <w:sz w:val="32"/>
          <w:szCs w:val="32"/>
          <w:highlight w:val="none"/>
          <w:lang w:val="zh-TW" w:eastAsia="zh-CN" w:bidi="zh-TW"/>
        </w:rPr>
        <w:t>（含远程项目）</w:t>
      </w:r>
      <w:r>
        <w:rPr>
          <w:rFonts w:ascii="Times New Roman" w:hAnsi="Times New Roman" w:eastAsia="仿宋_GB2312" w:cs="Times New Roman"/>
          <w:bCs/>
          <w:color w:val="auto"/>
          <w:kern w:val="21"/>
          <w:sz w:val="32"/>
          <w:szCs w:val="32"/>
          <w:highlight w:val="none"/>
          <w:lang w:val="zh-TW" w:eastAsia="zh-CN" w:bidi="zh-TW"/>
        </w:rPr>
        <w:t>学分</w:t>
      </w:r>
      <w:r>
        <w:rPr>
          <w:rFonts w:ascii="Times New Roman" w:hAnsi="Times New Roman" w:eastAsia="仿宋_GB2312" w:cs="Times New Roman"/>
          <w:bCs/>
          <w:color w:val="auto"/>
          <w:kern w:val="21"/>
          <w:sz w:val="32"/>
          <w:szCs w:val="32"/>
          <w:highlight w:val="none"/>
          <w:lang w:val="zh-TW" w:eastAsia="zh-TW" w:bidi="zh-TW"/>
        </w:rPr>
        <w:t>进行验证，</w:t>
      </w:r>
      <w:r>
        <w:rPr>
          <w:rFonts w:ascii="Times New Roman" w:hAnsi="Times New Roman" w:eastAsia="仿宋_GB2312" w:cs="Times New Roman"/>
          <w:bCs/>
          <w:color w:val="auto"/>
          <w:kern w:val="21"/>
          <w:sz w:val="32"/>
          <w:szCs w:val="32"/>
          <w:highlight w:val="none"/>
          <w:lang w:val="zh-TW" w:eastAsia="zh-CN" w:bidi="zh-TW"/>
        </w:rPr>
        <w:t>核实</w:t>
      </w:r>
      <w:r>
        <w:rPr>
          <w:rFonts w:ascii="Times New Roman" w:hAnsi="Times New Roman" w:eastAsia="仿宋_GB2312" w:cs="Times New Roman"/>
          <w:bCs/>
          <w:color w:val="auto"/>
          <w:kern w:val="21"/>
          <w:sz w:val="32"/>
          <w:szCs w:val="32"/>
          <w:highlight w:val="none"/>
          <w:lang w:val="zh-TW" w:eastAsia="zh-TW" w:bidi="zh-TW"/>
        </w:rPr>
        <w:t>学分是否真实有效。</w:t>
      </w:r>
    </w:p>
    <w:p>
      <w:pPr>
        <w:keepNext w:val="0"/>
        <w:keepLines w:val="0"/>
        <w:pageBreakBefore w:val="0"/>
        <w:widowControl w:val="0"/>
        <w:kinsoku/>
        <w:wordWrap w:val="0"/>
        <w:overflowPunct/>
        <w:topLinePunct/>
        <w:autoSpaceDE/>
        <w:autoSpaceDN/>
        <w:bidi w:val="0"/>
        <w:adjustRightInd/>
        <w:snapToGrid/>
        <w:spacing w:after="0" w:line="560" w:lineRule="exact"/>
        <w:jc w:val="both"/>
        <w:textAlignment w:val="auto"/>
        <w:rPr>
          <w:rFonts w:ascii="Times New Roman" w:hAnsi="Times New Roman" w:eastAsia="仿宋_GB2312" w:cs="Times New Roman"/>
          <w:color w:val="auto"/>
          <w:kern w:val="21"/>
          <w:sz w:val="32"/>
          <w:szCs w:val="32"/>
          <w:highlight w:val="none"/>
          <w:lang w:val="zh-TW" w:eastAsia="zh-CN" w:bidi="zh-TW"/>
        </w:rPr>
      </w:pPr>
      <w:r>
        <w:rPr>
          <w:rFonts w:ascii="Times New Roman" w:hAnsi="Times New Roman" w:eastAsia="仿宋_GB2312" w:cs="Times New Roman"/>
          <w:bCs/>
          <w:color w:val="auto"/>
          <w:kern w:val="21"/>
          <w:sz w:val="32"/>
          <w:szCs w:val="32"/>
          <w:highlight w:val="none"/>
          <w:lang w:val="zh-TW" w:eastAsia="zh-CN" w:bidi="zh-TW"/>
        </w:rPr>
        <w:t>　　</w:t>
      </w:r>
      <w:r>
        <w:rPr>
          <w:rFonts w:ascii="Times New Roman" w:hAnsi="Times New Roman" w:eastAsia="仿宋_GB2312" w:cs="Times New Roman"/>
          <w:bCs/>
          <w:color w:val="auto"/>
          <w:kern w:val="21"/>
          <w:sz w:val="32"/>
          <w:szCs w:val="32"/>
          <w:highlight w:val="none"/>
          <w:lang w:val="zh-TW" w:eastAsia="zh-TW" w:bidi="zh-TW"/>
        </w:rPr>
        <w:t>（</w:t>
      </w:r>
      <w:r>
        <w:rPr>
          <w:rFonts w:ascii="Times New Roman" w:hAnsi="Times New Roman" w:eastAsia="仿宋_GB2312" w:cs="Times New Roman"/>
          <w:bCs/>
          <w:color w:val="auto"/>
          <w:kern w:val="21"/>
          <w:sz w:val="32"/>
          <w:szCs w:val="32"/>
          <w:highlight w:val="none"/>
          <w:lang w:val="zh-TW" w:eastAsia="zh-CN" w:bidi="zh-TW"/>
        </w:rPr>
        <w:t>二</w:t>
      </w:r>
      <w:r>
        <w:rPr>
          <w:rFonts w:ascii="Times New Roman" w:hAnsi="Times New Roman" w:eastAsia="仿宋_GB2312" w:cs="Times New Roman"/>
          <w:bCs/>
          <w:color w:val="auto"/>
          <w:kern w:val="21"/>
          <w:sz w:val="32"/>
          <w:szCs w:val="32"/>
          <w:highlight w:val="none"/>
          <w:lang w:val="zh-TW" w:eastAsia="zh-TW" w:bidi="zh-TW"/>
        </w:rPr>
        <w:t>）各</w:t>
      </w:r>
      <w:r>
        <w:rPr>
          <w:rFonts w:ascii="Times New Roman" w:hAnsi="Times New Roman" w:eastAsia="仿宋_GB2312" w:cs="Times New Roman"/>
          <w:bCs/>
          <w:color w:val="auto"/>
          <w:kern w:val="21"/>
          <w:sz w:val="32"/>
          <w:szCs w:val="32"/>
          <w:highlight w:val="none"/>
          <w:lang w:val="zh-TW" w:eastAsia="zh-CN" w:bidi="zh-TW"/>
        </w:rPr>
        <w:t>地</w:t>
      </w:r>
      <w:r>
        <w:rPr>
          <w:rFonts w:ascii="Times New Roman" w:hAnsi="Times New Roman" w:eastAsia="仿宋_GB2312" w:cs="Times New Roman"/>
          <w:bCs/>
          <w:color w:val="auto"/>
          <w:kern w:val="21"/>
          <w:sz w:val="32"/>
          <w:szCs w:val="32"/>
          <w:highlight w:val="none"/>
          <w:lang w:val="zh-TW" w:eastAsia="zh-TW" w:bidi="zh-TW"/>
        </w:rPr>
        <w:t>市</w:t>
      </w:r>
      <w:r>
        <w:rPr>
          <w:rFonts w:ascii="Times New Roman" w:hAnsi="Times New Roman" w:eastAsia="仿宋_GB2312" w:cs="Times New Roman"/>
          <w:color w:val="auto"/>
          <w:kern w:val="21"/>
          <w:sz w:val="32"/>
          <w:szCs w:val="32"/>
          <w:highlight w:val="none"/>
          <w:lang w:val="zh-TW" w:eastAsia="zh-TW" w:bidi="zh-TW"/>
        </w:rPr>
        <w:t>继续医学教育委员会负责对所辖区内卫生计生专业技术人员继续医学教育学分</w:t>
      </w:r>
      <w:r>
        <w:rPr>
          <w:rFonts w:ascii="Times New Roman" w:hAnsi="Times New Roman" w:eastAsia="仿宋_GB2312" w:cs="Times New Roman"/>
          <w:color w:val="auto"/>
          <w:kern w:val="21"/>
          <w:sz w:val="32"/>
          <w:szCs w:val="32"/>
          <w:highlight w:val="none"/>
          <w:lang w:val="zh-TW" w:eastAsia="zh-CN" w:bidi="zh-TW"/>
        </w:rPr>
        <w:t>进行验证</w:t>
      </w:r>
      <w:r>
        <w:rPr>
          <w:rFonts w:ascii="Times New Roman" w:hAnsi="Times New Roman" w:eastAsia="仿宋_GB2312" w:cs="Times New Roman"/>
          <w:color w:val="auto"/>
          <w:kern w:val="21"/>
          <w:sz w:val="32"/>
          <w:szCs w:val="32"/>
          <w:highlight w:val="none"/>
          <w:lang w:val="zh-TW" w:eastAsia="zh-TW" w:bidi="zh-TW"/>
        </w:rPr>
        <w:t>，</w:t>
      </w:r>
      <w:r>
        <w:rPr>
          <w:rFonts w:ascii="Times New Roman" w:hAnsi="Times New Roman" w:eastAsia="仿宋_GB2312" w:cs="Times New Roman"/>
          <w:color w:val="auto"/>
          <w:kern w:val="21"/>
          <w:sz w:val="32"/>
          <w:szCs w:val="32"/>
          <w:highlight w:val="none"/>
          <w:lang w:val="zh-TW" w:eastAsia="zh-CN" w:bidi="zh-TW"/>
        </w:rPr>
        <w:t>核实</w:t>
      </w:r>
      <w:r>
        <w:rPr>
          <w:rFonts w:ascii="Times New Roman" w:hAnsi="Times New Roman" w:eastAsia="仿宋_GB2312" w:cs="Times New Roman"/>
          <w:color w:val="auto"/>
          <w:kern w:val="21"/>
          <w:sz w:val="32"/>
          <w:szCs w:val="32"/>
          <w:highlight w:val="none"/>
          <w:lang w:val="zh-TW" w:eastAsia="zh-TW" w:bidi="zh-TW"/>
        </w:rPr>
        <w:t>学分是否真实有效。</w:t>
      </w:r>
    </w:p>
    <w:p>
      <w:pPr>
        <w:keepNext w:val="0"/>
        <w:keepLines w:val="0"/>
        <w:pageBreakBefore w:val="0"/>
        <w:widowControl w:val="0"/>
        <w:kinsoku/>
        <w:wordWrap w:val="0"/>
        <w:overflowPunct/>
        <w:topLinePunct/>
        <w:autoSpaceDE/>
        <w:autoSpaceDN/>
        <w:bidi w:val="0"/>
        <w:adjustRightInd/>
        <w:snapToGrid/>
        <w:spacing w:after="0" w:line="560" w:lineRule="exact"/>
        <w:jc w:val="both"/>
        <w:textAlignment w:val="auto"/>
        <w:rPr>
          <w:rFonts w:ascii="Times New Roman" w:hAnsi="Times New Roman" w:eastAsia="仿宋_GB2312" w:cs="Times New Roman"/>
          <w:color w:val="auto"/>
          <w:kern w:val="21"/>
          <w:sz w:val="32"/>
          <w:szCs w:val="32"/>
          <w:highlight w:val="none"/>
          <w:lang w:val="zh-TW" w:eastAsia="zh-CN" w:bidi="zh-TW"/>
        </w:rPr>
      </w:pPr>
      <w:r>
        <w:rPr>
          <w:rFonts w:ascii="Times New Roman" w:hAnsi="Times New Roman" w:eastAsia="仿宋_GB2312" w:cs="Times New Roman"/>
          <w:color w:val="auto"/>
          <w:kern w:val="21"/>
          <w:sz w:val="32"/>
          <w:szCs w:val="32"/>
          <w:highlight w:val="none"/>
          <w:lang w:val="zh-TW" w:eastAsia="zh-CN" w:bidi="zh-TW"/>
        </w:rPr>
        <w:t>　　</w:t>
      </w:r>
      <w:r>
        <w:rPr>
          <w:rFonts w:ascii="Times New Roman" w:hAnsi="Times New Roman" w:eastAsia="仿宋_GB2312" w:cs="Times New Roman"/>
          <w:color w:val="auto"/>
          <w:kern w:val="21"/>
          <w:sz w:val="32"/>
          <w:szCs w:val="32"/>
          <w:highlight w:val="none"/>
          <w:lang w:val="zh-TW" w:eastAsia="zh-TW" w:bidi="zh-TW"/>
        </w:rPr>
        <w:t>（</w:t>
      </w:r>
      <w:r>
        <w:rPr>
          <w:rFonts w:ascii="Times New Roman" w:hAnsi="Times New Roman" w:eastAsia="仿宋_GB2312" w:cs="Times New Roman"/>
          <w:color w:val="auto"/>
          <w:kern w:val="21"/>
          <w:sz w:val="32"/>
          <w:szCs w:val="32"/>
          <w:highlight w:val="none"/>
          <w:lang w:val="zh-TW" w:eastAsia="zh-CN" w:bidi="zh-TW"/>
        </w:rPr>
        <w:t>三</w:t>
      </w:r>
      <w:r>
        <w:rPr>
          <w:rFonts w:ascii="Times New Roman" w:hAnsi="Times New Roman" w:eastAsia="仿宋_GB2312" w:cs="Times New Roman"/>
          <w:color w:val="auto"/>
          <w:kern w:val="21"/>
          <w:sz w:val="32"/>
          <w:szCs w:val="32"/>
          <w:highlight w:val="none"/>
          <w:lang w:val="zh-TW" w:eastAsia="zh-TW" w:bidi="zh-TW"/>
        </w:rPr>
        <w:t>）继续医学教育证书的验证每年进行一次</w:t>
      </w:r>
      <w:r>
        <w:rPr>
          <w:rFonts w:ascii="Times New Roman" w:hAnsi="Times New Roman" w:eastAsia="仿宋_GB2312" w:cs="Times New Roman"/>
          <w:color w:val="auto"/>
          <w:kern w:val="21"/>
          <w:sz w:val="32"/>
          <w:szCs w:val="32"/>
          <w:highlight w:val="none"/>
          <w:lang w:val="zh-TW" w:eastAsia="zh-CN" w:bidi="zh-TW"/>
        </w:rPr>
        <w:t>，</w:t>
      </w:r>
      <w:r>
        <w:rPr>
          <w:rFonts w:ascii="Times New Roman" w:hAnsi="Times New Roman" w:eastAsia="仿宋_GB2312" w:cs="Times New Roman"/>
          <w:color w:val="auto"/>
          <w:kern w:val="21"/>
          <w:sz w:val="32"/>
          <w:szCs w:val="32"/>
          <w:highlight w:val="none"/>
          <w:lang w:val="zh-TW" w:eastAsia="zh-TW" w:bidi="zh-TW"/>
        </w:rPr>
        <w:t>每年12月31日前完成对辖区内卫生计生专业技术人员当年学分验证工作。</w:t>
      </w:r>
    </w:p>
    <w:p>
      <w:r>
        <w:rPr>
          <w:rFonts w:ascii="Times New Roman" w:hAnsi="Times New Roman" w:eastAsia="仿宋_GB2312" w:cs="Times New Roman"/>
          <w:color w:val="auto"/>
          <w:kern w:val="21"/>
          <w:sz w:val="32"/>
          <w:szCs w:val="32"/>
          <w:highlight w:val="none"/>
          <w:lang w:val="zh-TW" w:eastAsia="zh-CN" w:bidi="zh-TW"/>
        </w:rPr>
        <w:t>　</w:t>
      </w:r>
      <w:r>
        <w:rPr>
          <w:rFonts w:ascii="Times New Roman" w:hAnsi="Times New Roman" w:eastAsia="仿宋_GB2312" w:cs="Times New Roman"/>
          <w:color w:val="auto"/>
          <w:kern w:val="21"/>
          <w:sz w:val="32"/>
          <w:szCs w:val="32"/>
          <w:highlight w:val="none"/>
          <w:lang w:val="zh-TW" w:eastAsia="zh-TW" w:bidi="zh-TW"/>
        </w:rPr>
        <w:t>（</w:t>
      </w:r>
      <w:r>
        <w:rPr>
          <w:rFonts w:ascii="Times New Roman" w:hAnsi="Times New Roman" w:eastAsia="仿宋_GB2312" w:cs="Times New Roman"/>
          <w:color w:val="auto"/>
          <w:kern w:val="21"/>
          <w:sz w:val="32"/>
          <w:szCs w:val="32"/>
          <w:highlight w:val="none"/>
          <w:lang w:val="zh-TW" w:eastAsia="zh-CN" w:bidi="zh-TW"/>
        </w:rPr>
        <w:t>四</w:t>
      </w:r>
      <w:r>
        <w:rPr>
          <w:rFonts w:ascii="Times New Roman" w:hAnsi="Times New Roman" w:eastAsia="仿宋_GB2312" w:cs="Times New Roman"/>
          <w:color w:val="auto"/>
          <w:kern w:val="21"/>
          <w:sz w:val="32"/>
          <w:szCs w:val="32"/>
          <w:highlight w:val="none"/>
          <w:lang w:val="zh-TW" w:eastAsia="zh-TW" w:bidi="zh-TW"/>
        </w:rPr>
        <w:t>）年度继续医学教育学分统计起止时间为1月1日至12月31日</w:t>
      </w:r>
      <w:r>
        <w:rPr>
          <w:rFonts w:ascii="Times New Roman" w:hAnsi="Times New Roman" w:eastAsia="仿宋_GB2312" w:cs="Times New Roman"/>
          <w:color w:val="auto"/>
          <w:kern w:val="21"/>
          <w:sz w:val="32"/>
          <w:szCs w:val="32"/>
          <w:highlight w:val="none"/>
          <w:lang w:val="zh-TW" w:eastAsia="zh-CN" w:bidi="zh-TW"/>
        </w:rPr>
        <w:t>；</w:t>
      </w:r>
      <w:r>
        <w:rPr>
          <w:rFonts w:ascii="Times New Roman" w:hAnsi="Times New Roman" w:eastAsia="仿宋_GB2312" w:cs="Times New Roman"/>
          <w:color w:val="auto"/>
          <w:kern w:val="21"/>
          <w:sz w:val="32"/>
          <w:szCs w:val="32"/>
          <w:highlight w:val="none"/>
          <w:lang w:val="zh-TW" w:eastAsia="zh-TW" w:bidi="zh-TW"/>
        </w:rPr>
        <w:t>年度继续医学教育学分</w:t>
      </w:r>
      <w:r>
        <w:rPr>
          <w:rFonts w:ascii="Times New Roman" w:hAnsi="Times New Roman" w:eastAsia="仿宋_GB2312" w:cs="Times New Roman"/>
          <w:color w:val="auto"/>
          <w:kern w:val="21"/>
          <w:sz w:val="32"/>
          <w:szCs w:val="32"/>
          <w:highlight w:val="none"/>
          <w:lang w:val="zh-TW" w:eastAsia="zh-CN" w:bidi="zh-TW"/>
        </w:rPr>
        <w:t>审核工作截止时间为次年的1月31日，超时不得再进行修改和审核</w:t>
      </w:r>
      <w:r>
        <w:rPr>
          <w:rFonts w:hint="eastAsia" w:ascii="Times New Roman" w:hAnsi="Times New Roman" w:eastAsia="仿宋_GB2312" w:cs="Times New Roman"/>
          <w:color w:val="auto"/>
          <w:kern w:val="21"/>
          <w:sz w:val="32"/>
          <w:szCs w:val="32"/>
          <w:highlight w:val="none"/>
          <w:lang w:val="zh-TW" w:eastAsia="zh-CN" w:bidi="zh-TW"/>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5D8A595D"/>
    <w:rsid w:val="5D8A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2022-09-13T10:20:00Z</dcterms:created>
  <dc:creator>worker</dc:creator>
  <cp:lastModifiedBy>worker</cp:lastModifiedBy>
  <dcterms:modified xsi:type="dcterms:W3CDTF">2022-09-13T10:20:49Z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16DC6770F4B64D2397CF051DFDD46BA9</vt:lpwstr>
  </property>
</Properties>
</file>