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57DA472">
      <w:pPr>
        <w:spacing w:before="169" w:line="224" w:lineRule="auto"/>
        <w:rPr>
          <w:rFonts w:hint="eastAsia" w:ascii="Times New Roman" w:hAnsi="Times New Roman" w:eastAsia="黑体" w:cs="黑体"/>
          <w:b w:val="0"/>
          <w:bCs w:val="0"/>
          <w:spacing w:val="0"/>
          <w:sz w:val="32"/>
          <w:szCs w:val="32"/>
          <w:lang w:val="en-US" w:eastAsia="zh-CN"/>
        </w:rPr>
      </w:pPr>
      <w:r>
        <w:rPr>
          <w:rFonts w:hint="eastAsia" w:ascii="Times New Roman" w:hAnsi="Times New Roman" w:eastAsia="黑体" w:cs="黑体"/>
          <w:b w:val="0"/>
          <w:bCs w:val="0"/>
          <w:spacing w:val="0"/>
          <w:sz w:val="32"/>
          <w:szCs w:val="32"/>
        </w:rPr>
        <w:t>附件</w:t>
      </w:r>
      <w:r>
        <w:rPr>
          <w:rFonts w:hint="eastAsia" w:ascii="Times New Roman" w:hAnsi="Times New Roman" w:eastAsia="黑体" w:cs="黑体"/>
          <w:b w:val="0"/>
          <w:bCs w:val="0"/>
          <w:spacing w:val="0"/>
          <w:sz w:val="32"/>
          <w:szCs w:val="32"/>
          <w:lang w:val="en-US" w:eastAsia="zh-CN"/>
        </w:rPr>
        <w:t>1</w:t>
      </w:r>
    </w:p>
    <w:p w14:paraId="2BC6CE70">
      <w:pPr>
        <w:spacing w:before="295" w:line="219" w:lineRule="auto"/>
        <w:jc w:val="center"/>
        <w:rPr>
          <w:rFonts w:hint="eastAsia" w:ascii="Times New Roman" w:hAnsi="Times New Roman" w:eastAsia="方正黑体简体" w:cs="方正黑体简体"/>
          <w:b w:val="0"/>
          <w:bCs w:val="0"/>
          <w:spacing w:val="-3"/>
          <w:sz w:val="44"/>
          <w:szCs w:val="44"/>
          <w:lang w:eastAsia="zh-CN"/>
        </w:rPr>
      </w:pPr>
      <w:r>
        <w:rPr>
          <w:rFonts w:hint="eastAsia" w:ascii="Times New Roman" w:hAnsi="Times New Roman" w:eastAsia="方正黑体简体" w:cs="方正黑体简体"/>
          <w:b w:val="0"/>
          <w:bCs w:val="0"/>
          <w:spacing w:val="-3"/>
          <w:sz w:val="44"/>
          <w:szCs w:val="44"/>
        </w:rPr>
        <w:t>2023</w:t>
      </w:r>
      <w:r>
        <w:rPr>
          <w:rFonts w:hint="eastAsia" w:ascii="方正小标宋简体" w:hAnsi="方正小标宋简体" w:eastAsia="方正小标宋简体" w:cs="方正小标宋简体"/>
          <w:b w:val="0"/>
          <w:bCs w:val="0"/>
          <w:spacing w:val="-3"/>
          <w:sz w:val="44"/>
          <w:szCs w:val="44"/>
        </w:rPr>
        <w:t>年柳州市职业技能大赛</w:t>
      </w:r>
      <w:r>
        <w:rPr>
          <w:rFonts w:hint="eastAsia" w:ascii="方正小标宋简体" w:hAnsi="方正小标宋简体" w:eastAsia="方正小标宋简体" w:cs="方正小标宋简体"/>
          <w:b w:val="0"/>
          <w:bCs w:val="0"/>
          <w:spacing w:val="-3"/>
          <w:sz w:val="44"/>
          <w:szCs w:val="44"/>
          <w:lang w:eastAsia="zh-CN"/>
        </w:rPr>
        <w:t>竞赛项目简介</w:t>
      </w:r>
    </w:p>
    <w:tbl>
      <w:tblPr>
        <w:tblStyle w:val="9"/>
        <w:tblpPr w:leftFromText="180" w:rightFromText="180" w:vertAnchor="text" w:horzAnchor="page" w:tblpXSpec="center" w:tblpY="85"/>
        <w:tblOverlap w:val="never"/>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97"/>
        <w:gridCol w:w="1508"/>
        <w:gridCol w:w="6662"/>
      </w:tblGrid>
      <w:tr w14:paraId="740378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9" w:hRule="atLeast"/>
          <w:jc w:val="center"/>
        </w:trPr>
        <w:tc>
          <w:tcPr>
            <w:tcW w:w="697" w:type="dxa"/>
            <w:noWrap w:val="0"/>
            <w:vAlign w:val="center"/>
          </w:tcPr>
          <w:p w14:paraId="7A002D34">
            <w:pPr>
              <w:keepNext w:val="0"/>
              <w:keepLines w:val="0"/>
              <w:pageBreakBefore w:val="0"/>
              <w:widowControl/>
              <w:kinsoku w:val="0"/>
              <w:wordWrap/>
              <w:overflowPunct/>
              <w:topLinePunct w:val="0"/>
              <w:autoSpaceDE w:val="0"/>
              <w:autoSpaceDN w:val="0"/>
              <w:bidi w:val="0"/>
              <w:adjustRightInd w:val="0"/>
              <w:snapToGrid w:val="0"/>
              <w:spacing w:line="560" w:lineRule="exact"/>
              <w:jc w:val="center"/>
              <w:textAlignment w:val="baseline"/>
              <w:rPr>
                <w:rFonts w:hint="eastAsia" w:ascii="Times New Roman" w:hAnsi="Times New Roman" w:eastAsia="仿宋" w:cs="仿宋"/>
                <w:b/>
                <w:bCs/>
                <w:sz w:val="28"/>
                <w:szCs w:val="28"/>
                <w:lang w:val="en-US" w:eastAsia="zh-CN"/>
              </w:rPr>
            </w:pPr>
            <w:r>
              <w:rPr>
                <w:rFonts w:hint="eastAsia" w:ascii="Times New Roman" w:hAnsi="Times New Roman" w:eastAsia="仿宋" w:cs="仿宋"/>
                <w:b/>
                <w:bCs/>
                <w:sz w:val="28"/>
                <w:szCs w:val="28"/>
                <w:lang w:val="en-US" w:eastAsia="zh-CN"/>
              </w:rPr>
              <w:t>序号</w:t>
            </w:r>
          </w:p>
        </w:tc>
        <w:tc>
          <w:tcPr>
            <w:tcW w:w="1508" w:type="dxa"/>
            <w:noWrap w:val="0"/>
            <w:vAlign w:val="center"/>
          </w:tcPr>
          <w:p w14:paraId="1E4C8929">
            <w:pPr>
              <w:keepNext w:val="0"/>
              <w:keepLines w:val="0"/>
              <w:pageBreakBefore w:val="0"/>
              <w:widowControl/>
              <w:kinsoku w:val="0"/>
              <w:wordWrap/>
              <w:overflowPunct/>
              <w:topLinePunct w:val="0"/>
              <w:autoSpaceDE w:val="0"/>
              <w:autoSpaceDN w:val="0"/>
              <w:bidi w:val="0"/>
              <w:adjustRightInd w:val="0"/>
              <w:snapToGrid w:val="0"/>
              <w:spacing w:line="560" w:lineRule="exact"/>
              <w:jc w:val="center"/>
              <w:textAlignment w:val="baseline"/>
              <w:rPr>
                <w:rFonts w:hint="eastAsia" w:ascii="Times New Roman" w:hAnsi="Times New Roman" w:eastAsia="仿宋" w:cs="仿宋"/>
                <w:b/>
                <w:bCs/>
                <w:sz w:val="28"/>
                <w:szCs w:val="28"/>
                <w:lang w:val="en-US" w:eastAsia="zh-CN"/>
              </w:rPr>
            </w:pPr>
            <w:r>
              <w:rPr>
                <w:rFonts w:hint="eastAsia" w:ascii="Times New Roman" w:hAnsi="Times New Roman" w:eastAsia="仿宋" w:cs="仿宋"/>
                <w:b/>
                <w:bCs/>
                <w:sz w:val="28"/>
                <w:szCs w:val="28"/>
                <w:lang w:val="en-US" w:eastAsia="zh-CN"/>
              </w:rPr>
              <w:t>项目名称</w:t>
            </w:r>
          </w:p>
        </w:tc>
        <w:tc>
          <w:tcPr>
            <w:tcW w:w="6662" w:type="dxa"/>
            <w:noWrap w:val="0"/>
            <w:vAlign w:val="center"/>
          </w:tcPr>
          <w:p w14:paraId="27B53E5C">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Times New Roman" w:hAnsi="Times New Roman" w:eastAsia="仿宋_GB2312" w:cs="仿宋_GB2312"/>
                <w:b/>
                <w:bCs/>
                <w:sz w:val="28"/>
                <w:szCs w:val="28"/>
                <w:lang w:eastAsia="zh-CN"/>
              </w:rPr>
            </w:pPr>
            <w:r>
              <w:rPr>
                <w:rFonts w:hint="eastAsia" w:ascii="Times New Roman" w:hAnsi="Times New Roman" w:eastAsia="仿宋_GB2312" w:cs="仿宋_GB2312"/>
                <w:b/>
                <w:bCs/>
                <w:sz w:val="28"/>
                <w:szCs w:val="28"/>
                <w:lang w:eastAsia="zh-CN"/>
              </w:rPr>
              <w:t>项目简介</w:t>
            </w:r>
          </w:p>
        </w:tc>
      </w:tr>
      <w:tr w14:paraId="132B97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00" w:hRule="atLeast"/>
          <w:jc w:val="center"/>
        </w:trPr>
        <w:tc>
          <w:tcPr>
            <w:tcW w:w="697" w:type="dxa"/>
            <w:noWrap w:val="0"/>
            <w:vAlign w:val="center"/>
          </w:tcPr>
          <w:p w14:paraId="34FC2D94">
            <w:pPr>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hint="eastAsia" w:ascii="Times New Roman" w:hAnsi="Times New Roman" w:eastAsia="仿宋" w:cs="仿宋"/>
                <w:sz w:val="24"/>
                <w:szCs w:val="24"/>
                <w:lang w:val="en-US" w:eastAsia="zh-CN"/>
              </w:rPr>
            </w:pPr>
            <w:r>
              <w:rPr>
                <w:rFonts w:hint="eastAsia" w:ascii="Times New Roman" w:hAnsi="Times New Roman" w:eastAsia="仿宋" w:cs="仿宋"/>
                <w:sz w:val="24"/>
                <w:szCs w:val="24"/>
                <w:lang w:val="en-US" w:eastAsia="zh-CN"/>
              </w:rPr>
              <w:t>1</w:t>
            </w:r>
          </w:p>
        </w:tc>
        <w:tc>
          <w:tcPr>
            <w:tcW w:w="1508" w:type="dxa"/>
            <w:noWrap w:val="0"/>
            <w:vAlign w:val="center"/>
          </w:tcPr>
          <w:p w14:paraId="3D8DE978">
            <w:pPr>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hint="eastAsia" w:ascii="Times New Roman" w:hAnsi="Times New Roman" w:eastAsia="仿宋" w:cs="仿宋"/>
                <w:sz w:val="24"/>
                <w:szCs w:val="24"/>
              </w:rPr>
            </w:pPr>
            <w:r>
              <w:rPr>
                <w:rFonts w:hint="eastAsia" w:ascii="Times New Roman" w:hAnsi="Times New Roman" w:eastAsia="仿宋" w:cs="仿宋"/>
                <w:sz w:val="24"/>
                <w:szCs w:val="24"/>
              </w:rPr>
              <w:t>新能源汽车智能网联技术</w:t>
            </w:r>
          </w:p>
        </w:tc>
        <w:tc>
          <w:tcPr>
            <w:tcW w:w="6662" w:type="dxa"/>
            <w:noWrap w:val="0"/>
            <w:vAlign w:val="center"/>
          </w:tcPr>
          <w:p w14:paraId="38FEB6B3">
            <w:pPr>
              <w:keepNext w:val="0"/>
              <w:keepLines w:val="0"/>
              <w:pageBreakBefore w:val="0"/>
              <w:widowControl/>
              <w:kinsoku w:val="0"/>
              <w:wordWrap/>
              <w:overflowPunct/>
              <w:topLinePunct w:val="0"/>
              <w:autoSpaceDE w:val="0"/>
              <w:autoSpaceDN w:val="0"/>
              <w:bidi w:val="0"/>
              <w:adjustRightInd w:val="0"/>
              <w:snapToGrid w:val="0"/>
              <w:spacing w:line="300" w:lineRule="exact"/>
              <w:ind w:left="0"/>
              <w:jc w:val="left"/>
              <w:textAlignment w:val="baseline"/>
              <w:rPr>
                <w:rFonts w:hint="eastAsia" w:ascii="Times New Roman" w:hAnsi="Times New Roman" w:eastAsia="仿宋" w:cs="仿宋"/>
                <w:sz w:val="28"/>
                <w:szCs w:val="28"/>
              </w:rPr>
            </w:pPr>
            <w:r>
              <w:rPr>
                <w:rFonts w:hint="eastAsia" w:ascii="Times New Roman" w:hAnsi="Times New Roman" w:eastAsia="仿宋" w:cs="仿宋"/>
                <w:sz w:val="21"/>
                <w:szCs w:val="21"/>
              </w:rPr>
              <w:t>赛项以服务新能源汽车产业领域技术技能人才需求，提升新能源汽车企业生产、服务能力，引领职业院校相关专业人才培养和课程建设为背景，要求对新能源汽车整车电控系统进行故障诊断与排除，包括前期准备、安全检查、仪器连接、故障症状确认、目视检查、读取故障码与数据流、高压断电、非带电状态检测验证、绝缘（漏电）检测、元器件测量、机械拆装、故障点确认和排除、现场5S整理等。考核选手的职业素养和规范；正确应用工位提供的设备仪器、工具量具、进行新能源汽车的 PDI、确认故障现象、检测故障原因、记录诊断过程、结合维修手册向裁判报告故障部位，排除新能源汽车常见的低压供电、充电、上电、驱动等故障的安全文明作业过程。</w:t>
            </w:r>
          </w:p>
        </w:tc>
      </w:tr>
      <w:tr w14:paraId="4B8DAD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2" w:hRule="atLeast"/>
          <w:jc w:val="center"/>
        </w:trPr>
        <w:tc>
          <w:tcPr>
            <w:tcW w:w="697" w:type="dxa"/>
            <w:noWrap w:val="0"/>
            <w:vAlign w:val="center"/>
          </w:tcPr>
          <w:p w14:paraId="23D82E78">
            <w:pPr>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hint="eastAsia" w:ascii="Times New Roman" w:hAnsi="Times New Roman" w:eastAsia="仿宋" w:cs="仿宋"/>
                <w:sz w:val="24"/>
                <w:szCs w:val="24"/>
                <w:lang w:val="en-US" w:eastAsia="zh-CN"/>
              </w:rPr>
            </w:pPr>
            <w:r>
              <w:rPr>
                <w:rFonts w:hint="eastAsia" w:ascii="Times New Roman" w:hAnsi="Times New Roman" w:eastAsia="仿宋" w:cs="仿宋"/>
                <w:sz w:val="24"/>
                <w:szCs w:val="24"/>
                <w:lang w:val="en-US" w:eastAsia="zh-CN"/>
              </w:rPr>
              <w:t>2</w:t>
            </w:r>
          </w:p>
        </w:tc>
        <w:tc>
          <w:tcPr>
            <w:tcW w:w="1508" w:type="dxa"/>
            <w:noWrap w:val="0"/>
            <w:vAlign w:val="center"/>
          </w:tcPr>
          <w:p w14:paraId="2C02E9DB">
            <w:pPr>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hint="eastAsia" w:ascii="Times New Roman" w:hAnsi="Times New Roman" w:eastAsia="仿宋" w:cs="仿宋"/>
                <w:sz w:val="24"/>
                <w:szCs w:val="24"/>
              </w:rPr>
            </w:pPr>
            <w:r>
              <w:rPr>
                <w:rFonts w:hint="eastAsia" w:ascii="Times New Roman" w:hAnsi="Times New Roman" w:eastAsia="仿宋" w:cs="仿宋"/>
                <w:sz w:val="24"/>
                <w:szCs w:val="24"/>
              </w:rPr>
              <w:t>新能源汽车电控技术</w:t>
            </w:r>
          </w:p>
        </w:tc>
        <w:tc>
          <w:tcPr>
            <w:tcW w:w="6662" w:type="dxa"/>
            <w:noWrap w:val="0"/>
            <w:vAlign w:val="center"/>
          </w:tcPr>
          <w:p w14:paraId="14BABDEB">
            <w:pPr>
              <w:keepNext w:val="0"/>
              <w:keepLines w:val="0"/>
              <w:pageBreakBefore w:val="0"/>
              <w:widowControl/>
              <w:kinsoku w:val="0"/>
              <w:wordWrap/>
              <w:overflowPunct/>
              <w:topLinePunct w:val="0"/>
              <w:autoSpaceDE w:val="0"/>
              <w:autoSpaceDN w:val="0"/>
              <w:bidi w:val="0"/>
              <w:adjustRightInd w:val="0"/>
              <w:snapToGrid w:val="0"/>
              <w:spacing w:line="300" w:lineRule="exact"/>
              <w:ind w:left="0"/>
              <w:jc w:val="left"/>
              <w:textAlignment w:val="baseline"/>
              <w:rPr>
                <w:rFonts w:hint="eastAsia" w:ascii="Times New Roman" w:hAnsi="Times New Roman" w:eastAsia="仿宋" w:cs="仿宋"/>
                <w:sz w:val="28"/>
                <w:szCs w:val="28"/>
              </w:rPr>
            </w:pPr>
            <w:r>
              <w:rPr>
                <w:rFonts w:hint="eastAsia" w:ascii="Times New Roman" w:hAnsi="Times New Roman" w:eastAsia="仿宋" w:cs="仿宋"/>
                <w:sz w:val="21"/>
                <w:szCs w:val="21"/>
              </w:rPr>
              <w:t>赛项为自动驾驶实车装调与故障排除，旨在充分考核选手对新能源汽车智能化应用关键技术和实际操作技能的掌握，包括“感知、决策和控制”智能化技术和电动汽车线控底盘技术。选手根据大赛组委会提供的自动驾驶装调实训平台、智能化装备、工量具和仪器仪表等，在规定时间内完成以下工作： 1</w:t>
            </w:r>
            <w:r>
              <w:rPr>
                <w:rFonts w:hint="eastAsia" w:ascii="Times New Roman" w:hAnsi="Times New Roman" w:eastAsia="仿宋" w:cs="仿宋"/>
                <w:sz w:val="21"/>
                <w:szCs w:val="21"/>
                <w:lang w:val="en-US" w:eastAsia="zh-CN"/>
              </w:rPr>
              <w:t>.</w:t>
            </w:r>
            <w:r>
              <w:rPr>
                <w:rFonts w:hint="eastAsia" w:ascii="Times New Roman" w:hAnsi="Times New Roman" w:eastAsia="仿宋" w:cs="仿宋"/>
                <w:sz w:val="21"/>
                <w:szCs w:val="21"/>
              </w:rPr>
              <w:t>自动驾驶车辆排故 根据任务要求，对所装配的智能化零部件进行调试和故障排查，包括关键智能化感知故障排除、线控车辆故障排除、线束连接故障检修等内容。 2</w:t>
            </w:r>
            <w:r>
              <w:rPr>
                <w:rFonts w:hint="eastAsia" w:ascii="Times New Roman" w:hAnsi="Times New Roman" w:eastAsia="仿宋" w:cs="仿宋"/>
                <w:sz w:val="21"/>
                <w:szCs w:val="21"/>
                <w:lang w:val="en-US" w:eastAsia="zh-CN"/>
              </w:rPr>
              <w:t>.</w:t>
            </w:r>
            <w:r>
              <w:rPr>
                <w:rFonts w:hint="eastAsia" w:ascii="Times New Roman" w:hAnsi="Times New Roman" w:eastAsia="仿宋" w:cs="仿宋"/>
                <w:sz w:val="21"/>
                <w:szCs w:val="21"/>
              </w:rPr>
              <w:t>采集并记录传感器的数据，包括激光雷达、毫米波雷达、双目相机、GPS/惯导、超声波雷达等。 3</w:t>
            </w:r>
            <w:r>
              <w:rPr>
                <w:rFonts w:hint="eastAsia" w:ascii="Times New Roman" w:hAnsi="Times New Roman" w:eastAsia="仿宋" w:cs="仿宋"/>
                <w:sz w:val="21"/>
                <w:szCs w:val="21"/>
                <w:lang w:val="en-US" w:eastAsia="zh-CN"/>
              </w:rPr>
              <w:t>.</w:t>
            </w:r>
            <w:r>
              <w:rPr>
                <w:rFonts w:hint="eastAsia" w:ascii="Times New Roman" w:hAnsi="Times New Roman" w:eastAsia="仿宋" w:cs="仿宋"/>
                <w:sz w:val="21"/>
                <w:szCs w:val="21"/>
              </w:rPr>
              <w:t>根据给定的目标值，进行线控底盘 CAN 数据的调测。 4</w:t>
            </w:r>
            <w:r>
              <w:rPr>
                <w:rFonts w:hint="eastAsia" w:ascii="Times New Roman" w:hAnsi="Times New Roman" w:eastAsia="仿宋" w:cs="仿宋"/>
                <w:sz w:val="21"/>
                <w:szCs w:val="21"/>
                <w:lang w:val="en-US" w:eastAsia="zh-CN"/>
              </w:rPr>
              <w:t>.</w:t>
            </w:r>
            <w:r>
              <w:rPr>
                <w:rFonts w:hint="eastAsia" w:ascii="Times New Roman" w:hAnsi="Times New Roman" w:eastAsia="仿宋" w:cs="仿宋"/>
                <w:sz w:val="21"/>
                <w:szCs w:val="21"/>
              </w:rPr>
              <w:t>完成《自动驾驶实车装调与排故工单》填写。</w:t>
            </w:r>
          </w:p>
        </w:tc>
      </w:tr>
      <w:tr w14:paraId="3A94B4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2" w:hRule="atLeast"/>
          <w:jc w:val="center"/>
        </w:trPr>
        <w:tc>
          <w:tcPr>
            <w:tcW w:w="697" w:type="dxa"/>
            <w:noWrap w:val="0"/>
            <w:vAlign w:val="center"/>
          </w:tcPr>
          <w:p w14:paraId="701C2A83">
            <w:pPr>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hint="eastAsia" w:ascii="Times New Roman" w:hAnsi="Times New Roman" w:eastAsia="仿宋" w:cs="仿宋"/>
                <w:sz w:val="24"/>
                <w:szCs w:val="24"/>
                <w:lang w:val="en-US" w:eastAsia="zh-CN"/>
              </w:rPr>
            </w:pPr>
            <w:r>
              <w:rPr>
                <w:rFonts w:hint="eastAsia" w:ascii="Times New Roman" w:hAnsi="Times New Roman" w:eastAsia="仿宋" w:cs="仿宋"/>
                <w:sz w:val="24"/>
                <w:szCs w:val="24"/>
                <w:lang w:val="en-US" w:eastAsia="zh-CN"/>
              </w:rPr>
              <w:t>3</w:t>
            </w:r>
          </w:p>
        </w:tc>
        <w:tc>
          <w:tcPr>
            <w:tcW w:w="1508" w:type="dxa"/>
            <w:noWrap w:val="0"/>
            <w:vAlign w:val="center"/>
          </w:tcPr>
          <w:p w14:paraId="3A736E23">
            <w:pPr>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hint="eastAsia" w:ascii="Times New Roman" w:hAnsi="Times New Roman" w:eastAsia="仿宋" w:cs="仿宋"/>
                <w:sz w:val="24"/>
                <w:szCs w:val="24"/>
              </w:rPr>
            </w:pPr>
            <w:r>
              <w:rPr>
                <w:rFonts w:hint="eastAsia" w:ascii="Times New Roman" w:hAnsi="Times New Roman" w:eastAsia="仿宋" w:cs="仿宋"/>
                <w:sz w:val="24"/>
                <w:szCs w:val="24"/>
              </w:rPr>
              <w:t>工业机器人系统操作</w:t>
            </w:r>
          </w:p>
        </w:tc>
        <w:tc>
          <w:tcPr>
            <w:tcW w:w="6662" w:type="dxa"/>
            <w:noWrap w:val="0"/>
            <w:vAlign w:val="center"/>
          </w:tcPr>
          <w:p w14:paraId="19F8931E">
            <w:pPr>
              <w:keepNext w:val="0"/>
              <w:keepLines w:val="0"/>
              <w:pageBreakBefore w:val="0"/>
              <w:widowControl/>
              <w:kinsoku w:val="0"/>
              <w:wordWrap/>
              <w:overflowPunct/>
              <w:topLinePunct w:val="0"/>
              <w:autoSpaceDE w:val="0"/>
              <w:autoSpaceDN w:val="0"/>
              <w:bidi w:val="0"/>
              <w:adjustRightInd w:val="0"/>
              <w:snapToGrid w:val="0"/>
              <w:spacing w:line="300" w:lineRule="exact"/>
              <w:ind w:left="0"/>
              <w:jc w:val="left"/>
              <w:textAlignment w:val="baseline"/>
              <w:rPr>
                <w:rFonts w:hint="eastAsia" w:ascii="Times New Roman" w:hAnsi="Times New Roman" w:eastAsia="仿宋" w:cs="仿宋"/>
                <w:sz w:val="28"/>
                <w:szCs w:val="28"/>
                <w:highlight w:val="none"/>
              </w:rPr>
            </w:pPr>
            <w:r>
              <w:rPr>
                <w:rFonts w:hint="eastAsia" w:ascii="Times New Roman" w:hAnsi="Times New Roman" w:eastAsia="仿宋" w:cs="仿宋"/>
                <w:sz w:val="21"/>
                <w:szCs w:val="21"/>
                <w:highlight w:val="none"/>
              </w:rPr>
              <w:t>本赛项以国家人力资源</w:t>
            </w:r>
            <w:r>
              <w:rPr>
                <w:rFonts w:hint="eastAsia" w:ascii="Times New Roman" w:hAnsi="Times New Roman" w:eastAsia="仿宋" w:cs="仿宋"/>
                <w:sz w:val="21"/>
                <w:szCs w:val="21"/>
                <w:highlight w:val="none"/>
                <w:lang w:eastAsia="zh-CN"/>
              </w:rPr>
              <w:t>和</w:t>
            </w:r>
            <w:r>
              <w:rPr>
                <w:rFonts w:hint="eastAsia" w:ascii="Times New Roman" w:hAnsi="Times New Roman" w:eastAsia="仿宋" w:cs="仿宋"/>
                <w:sz w:val="21"/>
                <w:szCs w:val="21"/>
                <w:highlight w:val="none"/>
              </w:rPr>
              <w:t>社会保障部制定的《工业机器人系统操作员国家职业技能标准（高级工）》2020年版为依据，面向工业机器人系统操作员及相关职业人员，重点考察选手能够合理使用机器人示教器、操作面板等人机交互设备及相关机械工具，对工业机器人工作站或系统进行装配、编程、调试、工艺参数更改、工装夹具更换以及其他有关辅助作业的能力。</w:t>
            </w:r>
          </w:p>
        </w:tc>
      </w:tr>
      <w:tr w14:paraId="7A0D4D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2" w:hRule="atLeast"/>
          <w:jc w:val="center"/>
        </w:trPr>
        <w:tc>
          <w:tcPr>
            <w:tcW w:w="697" w:type="dxa"/>
            <w:noWrap w:val="0"/>
            <w:vAlign w:val="center"/>
          </w:tcPr>
          <w:p w14:paraId="6C2E84B4">
            <w:pPr>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hint="eastAsia" w:ascii="Times New Roman" w:hAnsi="Times New Roman" w:eastAsia="仿宋" w:cs="仿宋"/>
                <w:sz w:val="24"/>
                <w:szCs w:val="24"/>
                <w:lang w:val="en-US" w:eastAsia="zh-CN"/>
              </w:rPr>
            </w:pPr>
            <w:r>
              <w:rPr>
                <w:rFonts w:hint="eastAsia" w:ascii="Times New Roman" w:hAnsi="Times New Roman" w:eastAsia="仿宋" w:cs="仿宋"/>
                <w:sz w:val="24"/>
                <w:szCs w:val="24"/>
                <w:lang w:val="en-US" w:eastAsia="zh-CN"/>
              </w:rPr>
              <w:t>4</w:t>
            </w:r>
          </w:p>
        </w:tc>
        <w:tc>
          <w:tcPr>
            <w:tcW w:w="1508" w:type="dxa"/>
            <w:noWrap w:val="0"/>
            <w:vAlign w:val="center"/>
          </w:tcPr>
          <w:p w14:paraId="5F9E90F7">
            <w:pPr>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hint="eastAsia" w:ascii="Times New Roman" w:hAnsi="Times New Roman" w:eastAsia="仿宋" w:cs="仿宋"/>
                <w:sz w:val="24"/>
                <w:szCs w:val="24"/>
              </w:rPr>
            </w:pPr>
            <w:r>
              <w:rPr>
                <w:rFonts w:hint="eastAsia" w:ascii="Times New Roman" w:hAnsi="Times New Roman" w:eastAsia="仿宋" w:cs="仿宋"/>
                <w:sz w:val="24"/>
                <w:szCs w:val="24"/>
              </w:rPr>
              <w:t>工业机器人系统运维</w:t>
            </w:r>
          </w:p>
        </w:tc>
        <w:tc>
          <w:tcPr>
            <w:tcW w:w="6662" w:type="dxa"/>
            <w:noWrap w:val="0"/>
            <w:vAlign w:val="center"/>
          </w:tcPr>
          <w:p w14:paraId="7632BA12">
            <w:pPr>
              <w:keepNext w:val="0"/>
              <w:keepLines w:val="0"/>
              <w:pageBreakBefore w:val="0"/>
              <w:widowControl/>
              <w:kinsoku w:val="0"/>
              <w:wordWrap/>
              <w:overflowPunct/>
              <w:topLinePunct w:val="0"/>
              <w:autoSpaceDE w:val="0"/>
              <w:autoSpaceDN w:val="0"/>
              <w:bidi w:val="0"/>
              <w:adjustRightInd w:val="0"/>
              <w:snapToGrid w:val="0"/>
              <w:spacing w:line="300" w:lineRule="exact"/>
              <w:ind w:left="0"/>
              <w:jc w:val="left"/>
              <w:textAlignment w:val="baseline"/>
              <w:rPr>
                <w:rFonts w:hint="eastAsia" w:ascii="Times New Roman" w:hAnsi="Times New Roman" w:eastAsia="仿宋" w:cs="仿宋"/>
                <w:sz w:val="21"/>
                <w:szCs w:val="21"/>
                <w:highlight w:val="none"/>
              </w:rPr>
            </w:pPr>
            <w:r>
              <w:rPr>
                <w:rFonts w:hint="eastAsia" w:ascii="Times New Roman" w:hAnsi="Times New Roman" w:eastAsia="仿宋" w:cs="仿宋"/>
                <w:sz w:val="21"/>
                <w:szCs w:val="21"/>
                <w:highlight w:val="none"/>
              </w:rPr>
              <w:t>本赛项以国家人力资源</w:t>
            </w:r>
            <w:r>
              <w:rPr>
                <w:rFonts w:hint="eastAsia" w:ascii="Times New Roman" w:hAnsi="Times New Roman" w:eastAsia="仿宋" w:cs="仿宋"/>
                <w:sz w:val="21"/>
                <w:szCs w:val="21"/>
                <w:highlight w:val="none"/>
                <w:lang w:eastAsia="zh-CN"/>
              </w:rPr>
              <w:t>和</w:t>
            </w:r>
            <w:r>
              <w:rPr>
                <w:rFonts w:hint="eastAsia" w:ascii="Times New Roman" w:hAnsi="Times New Roman" w:eastAsia="仿宋" w:cs="仿宋"/>
                <w:sz w:val="21"/>
                <w:szCs w:val="21"/>
                <w:highlight w:val="none"/>
              </w:rPr>
              <w:t>社会保障部制定的《工业机器人系统运维员国家职业技能标准（高级工）》2020年版为依据，面向工业机器人系统运维员及相关职业人员，重点考察选手能够合理使用工具对工业机器人工作站或系统进行系统检查与诊断、故障分析与处理、机械拆装与维护、系统编程与调试的能力。</w:t>
            </w:r>
          </w:p>
        </w:tc>
      </w:tr>
      <w:tr w14:paraId="5D00C2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2" w:hRule="atLeast"/>
          <w:jc w:val="center"/>
        </w:trPr>
        <w:tc>
          <w:tcPr>
            <w:tcW w:w="697" w:type="dxa"/>
            <w:noWrap w:val="0"/>
            <w:vAlign w:val="center"/>
          </w:tcPr>
          <w:p w14:paraId="5BAA8F33">
            <w:pPr>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hint="eastAsia" w:ascii="Times New Roman" w:hAnsi="Times New Roman" w:eastAsia="仿宋" w:cs="仿宋"/>
                <w:sz w:val="24"/>
                <w:szCs w:val="24"/>
                <w:lang w:val="en-US" w:eastAsia="zh-CN"/>
              </w:rPr>
            </w:pPr>
            <w:r>
              <w:rPr>
                <w:rFonts w:hint="eastAsia" w:ascii="Times New Roman" w:hAnsi="Times New Roman" w:eastAsia="仿宋" w:cs="仿宋"/>
                <w:sz w:val="24"/>
                <w:szCs w:val="24"/>
                <w:lang w:val="en-US" w:eastAsia="zh-CN"/>
              </w:rPr>
              <w:t>5</w:t>
            </w:r>
          </w:p>
        </w:tc>
        <w:tc>
          <w:tcPr>
            <w:tcW w:w="1508" w:type="dxa"/>
            <w:noWrap w:val="0"/>
            <w:vAlign w:val="center"/>
          </w:tcPr>
          <w:p w14:paraId="12DFB5EE">
            <w:pPr>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hint="eastAsia" w:ascii="Times New Roman" w:hAnsi="Times New Roman" w:eastAsia="仿宋" w:cs="仿宋"/>
                <w:sz w:val="24"/>
                <w:szCs w:val="24"/>
              </w:rPr>
            </w:pPr>
            <w:r>
              <w:rPr>
                <w:rFonts w:hint="eastAsia" w:ascii="Times New Roman" w:hAnsi="Times New Roman" w:eastAsia="仿宋" w:cs="仿宋"/>
                <w:sz w:val="24"/>
                <w:szCs w:val="24"/>
              </w:rPr>
              <w:t>机电一体化（双人项目）</w:t>
            </w:r>
          </w:p>
        </w:tc>
        <w:tc>
          <w:tcPr>
            <w:tcW w:w="6662" w:type="dxa"/>
            <w:noWrap w:val="0"/>
            <w:vAlign w:val="center"/>
          </w:tcPr>
          <w:p w14:paraId="52E66F75">
            <w:pPr>
              <w:keepNext w:val="0"/>
              <w:keepLines w:val="0"/>
              <w:pageBreakBefore w:val="0"/>
              <w:widowControl/>
              <w:kinsoku w:val="0"/>
              <w:wordWrap/>
              <w:overflowPunct/>
              <w:topLinePunct w:val="0"/>
              <w:autoSpaceDE w:val="0"/>
              <w:autoSpaceDN w:val="0"/>
              <w:bidi w:val="0"/>
              <w:adjustRightInd w:val="0"/>
              <w:snapToGrid w:val="0"/>
              <w:spacing w:line="300" w:lineRule="exact"/>
              <w:ind w:left="0"/>
              <w:jc w:val="left"/>
              <w:textAlignment w:val="baseline"/>
              <w:rPr>
                <w:rFonts w:hint="eastAsia" w:ascii="Times New Roman" w:hAnsi="Times New Roman" w:eastAsia="仿宋" w:cs="仿宋"/>
                <w:sz w:val="21"/>
                <w:szCs w:val="21"/>
                <w:lang w:eastAsia="zh-CN"/>
              </w:rPr>
            </w:pPr>
            <w:r>
              <w:rPr>
                <w:rFonts w:hint="eastAsia" w:ascii="Times New Roman" w:hAnsi="Times New Roman" w:eastAsia="仿宋" w:cs="仿宋"/>
                <w:sz w:val="21"/>
                <w:szCs w:val="21"/>
              </w:rPr>
              <w:t>本赛项设备由上料单元、瓶盖加工单元、检测分拣单元、工业机器人搬运包装单元、智能物料存储单元组成，包括了智能装配生产系统、自动包装系统、自动化立体仓库及智能物流系统、自动检测机质量控制系统、生产过程数据采集及控制系统等，是一个完整的智能工厂模拟装置，应用了工业机器人技术、PLC 控制技术、变频控制技术、伺服控制技术、工业传感器技术、电机驱动技术等工业自动化相关技术，可实现空瓶上料、颗粒物料上料、物料分拣、颗粒填装、加盖拧盖、物料检测、瓶盖检测、成品分拣、机器人抓取入盒、盒盖包装、贴标、入库等智能生产全过程。机电一体化技术人员能够设计、组装、安装、调试、维护、修理和校调自动化工业设备及编写设备控制系统和人机界面程序</w:t>
            </w:r>
            <w:r>
              <w:rPr>
                <w:rFonts w:hint="eastAsia" w:ascii="Times New Roman" w:hAnsi="Times New Roman" w:eastAsia="仿宋" w:cs="仿宋"/>
                <w:sz w:val="21"/>
                <w:szCs w:val="21"/>
                <w:lang w:eastAsia="zh-CN"/>
              </w:rPr>
              <w:t>。</w:t>
            </w:r>
          </w:p>
        </w:tc>
      </w:tr>
      <w:tr w14:paraId="39262F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2" w:hRule="atLeast"/>
          <w:jc w:val="center"/>
        </w:trPr>
        <w:tc>
          <w:tcPr>
            <w:tcW w:w="697" w:type="dxa"/>
            <w:noWrap w:val="0"/>
            <w:vAlign w:val="center"/>
          </w:tcPr>
          <w:p w14:paraId="61BBA1B7">
            <w:pPr>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hint="eastAsia" w:ascii="Times New Roman" w:hAnsi="Times New Roman" w:eastAsia="仿宋" w:cs="仿宋"/>
                <w:sz w:val="24"/>
                <w:szCs w:val="24"/>
                <w:lang w:val="en-US" w:eastAsia="zh-CN"/>
              </w:rPr>
            </w:pPr>
            <w:r>
              <w:rPr>
                <w:rFonts w:hint="eastAsia" w:ascii="Times New Roman" w:hAnsi="Times New Roman" w:eastAsia="仿宋" w:cs="仿宋"/>
                <w:sz w:val="24"/>
                <w:szCs w:val="24"/>
                <w:lang w:val="en-US" w:eastAsia="zh-CN"/>
              </w:rPr>
              <w:t>6</w:t>
            </w:r>
          </w:p>
        </w:tc>
        <w:tc>
          <w:tcPr>
            <w:tcW w:w="1508" w:type="dxa"/>
            <w:noWrap w:val="0"/>
            <w:vAlign w:val="center"/>
          </w:tcPr>
          <w:p w14:paraId="7CA66DF8">
            <w:pPr>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hint="eastAsia" w:ascii="Times New Roman" w:hAnsi="Times New Roman" w:eastAsia="仿宋" w:cs="仿宋"/>
                <w:sz w:val="24"/>
                <w:szCs w:val="24"/>
              </w:rPr>
            </w:pPr>
            <w:r>
              <w:rPr>
                <w:rFonts w:hint="eastAsia" w:ascii="Times New Roman" w:hAnsi="Times New Roman" w:eastAsia="仿宋" w:cs="仿宋"/>
                <w:sz w:val="24"/>
                <w:szCs w:val="24"/>
              </w:rPr>
              <w:t>电工</w:t>
            </w:r>
          </w:p>
        </w:tc>
        <w:tc>
          <w:tcPr>
            <w:tcW w:w="6662" w:type="dxa"/>
            <w:noWrap w:val="0"/>
            <w:vAlign w:val="center"/>
          </w:tcPr>
          <w:p w14:paraId="18DCB2E9">
            <w:pPr>
              <w:keepNext w:val="0"/>
              <w:keepLines w:val="0"/>
              <w:pageBreakBefore w:val="0"/>
              <w:widowControl/>
              <w:kinsoku w:val="0"/>
              <w:wordWrap/>
              <w:overflowPunct/>
              <w:topLinePunct w:val="0"/>
              <w:autoSpaceDE w:val="0"/>
              <w:autoSpaceDN w:val="0"/>
              <w:bidi w:val="0"/>
              <w:adjustRightInd w:val="0"/>
              <w:snapToGrid w:val="0"/>
              <w:spacing w:line="300" w:lineRule="exact"/>
              <w:ind w:left="0"/>
              <w:jc w:val="left"/>
              <w:textAlignment w:val="baseline"/>
              <w:rPr>
                <w:rFonts w:hint="eastAsia" w:ascii="Times New Roman" w:hAnsi="Times New Roman" w:eastAsia="仿宋" w:cs="仿宋"/>
                <w:sz w:val="21"/>
                <w:szCs w:val="21"/>
              </w:rPr>
            </w:pPr>
            <w:r>
              <w:rPr>
                <w:rFonts w:hint="eastAsia" w:ascii="Times New Roman" w:hAnsi="Times New Roman" w:eastAsia="仿宋" w:cs="仿宋"/>
                <w:sz w:val="21"/>
                <w:szCs w:val="21"/>
              </w:rPr>
              <w:t>本赛项是通过使用工具、量具和仪器、仪表，完成机械设备电气部分和电气系统线路设计与装调、控制程序编制、故障诊断与排除的竞赛项目。比赛中对选手的技能要求主要包括： PLC 电气控制系统的线路连接，编程与调试。本项目竞赛内容主要包含PLC 电气控制系统编程与调试、机电设备线路故障诊断与排除两个模块。参赛选手需要根据机电设备功能说明、设备原理图，完成电路故障的诊断,故障器件的更换、电路修复等。</w:t>
            </w:r>
          </w:p>
        </w:tc>
      </w:tr>
      <w:tr w14:paraId="2856A3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2" w:hRule="atLeast"/>
          <w:jc w:val="center"/>
        </w:trPr>
        <w:tc>
          <w:tcPr>
            <w:tcW w:w="697" w:type="dxa"/>
            <w:noWrap w:val="0"/>
            <w:vAlign w:val="center"/>
          </w:tcPr>
          <w:p w14:paraId="109CF60F">
            <w:pPr>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hint="eastAsia" w:ascii="Times New Roman" w:hAnsi="Times New Roman" w:eastAsia="仿宋" w:cs="仿宋"/>
                <w:sz w:val="24"/>
                <w:szCs w:val="24"/>
                <w:lang w:val="en-US" w:eastAsia="zh-CN"/>
              </w:rPr>
            </w:pPr>
            <w:r>
              <w:rPr>
                <w:rFonts w:hint="eastAsia" w:ascii="Times New Roman" w:hAnsi="Times New Roman" w:eastAsia="仿宋" w:cs="仿宋"/>
                <w:sz w:val="24"/>
                <w:szCs w:val="24"/>
                <w:lang w:val="en-US" w:eastAsia="zh-CN"/>
              </w:rPr>
              <w:t>7</w:t>
            </w:r>
          </w:p>
        </w:tc>
        <w:tc>
          <w:tcPr>
            <w:tcW w:w="1508" w:type="dxa"/>
            <w:noWrap w:val="0"/>
            <w:vAlign w:val="center"/>
          </w:tcPr>
          <w:p w14:paraId="2BFEF02F">
            <w:pPr>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hint="eastAsia" w:ascii="Times New Roman" w:hAnsi="Times New Roman" w:eastAsia="仿宋" w:cs="仿宋"/>
                <w:sz w:val="24"/>
                <w:szCs w:val="24"/>
              </w:rPr>
            </w:pPr>
            <w:r>
              <w:rPr>
                <w:rFonts w:hint="eastAsia" w:ascii="Times New Roman" w:hAnsi="Times New Roman" w:eastAsia="仿宋" w:cs="仿宋"/>
                <w:sz w:val="24"/>
                <w:szCs w:val="24"/>
              </w:rPr>
              <w:t>装配钳工</w:t>
            </w:r>
          </w:p>
        </w:tc>
        <w:tc>
          <w:tcPr>
            <w:tcW w:w="6662" w:type="dxa"/>
            <w:noWrap w:val="0"/>
            <w:vAlign w:val="center"/>
          </w:tcPr>
          <w:p w14:paraId="1EF6C53A">
            <w:pPr>
              <w:keepNext w:val="0"/>
              <w:keepLines w:val="0"/>
              <w:pageBreakBefore w:val="0"/>
              <w:widowControl/>
              <w:kinsoku w:val="0"/>
              <w:wordWrap/>
              <w:overflowPunct/>
              <w:topLinePunct w:val="0"/>
              <w:autoSpaceDE w:val="0"/>
              <w:autoSpaceDN w:val="0"/>
              <w:bidi w:val="0"/>
              <w:adjustRightInd w:val="0"/>
              <w:snapToGrid w:val="0"/>
              <w:spacing w:line="300" w:lineRule="exact"/>
              <w:ind w:left="0"/>
              <w:jc w:val="left"/>
              <w:textAlignment w:val="baseline"/>
              <w:rPr>
                <w:rFonts w:hint="eastAsia" w:ascii="Times New Roman" w:hAnsi="Times New Roman" w:eastAsia="仿宋" w:cs="仿宋"/>
                <w:sz w:val="21"/>
                <w:szCs w:val="21"/>
              </w:rPr>
            </w:pPr>
            <w:r>
              <w:rPr>
                <w:rFonts w:hint="eastAsia" w:ascii="Times New Roman" w:hAnsi="Times New Roman" w:eastAsia="仿宋" w:cs="仿宋"/>
                <w:sz w:val="21"/>
                <w:szCs w:val="21"/>
              </w:rPr>
              <w:t>本赛项主要是根据企业对机械设备零件、组件或成品组合装配、检测、调试，以及利用手工工具为主对一些零件进行加工操作等岗位能力要求为基础，机械设备传动机构的拆卸、安装、检测、调试、维护等工作内容。这些工作在企业一般有团队或个人单独完成，所以要求技术人员要有很好的工作组织，自我管理、沟通协调能力；具有一定的学习和计算能力；具有手工加工、安装、调试、维护、检测的能力。能够根据工作要求，完成零件的手工加工，机械传动的安装、调试、检测、维护等内容，使机构能够准确、可靠、稳定的运行。</w:t>
            </w:r>
          </w:p>
        </w:tc>
      </w:tr>
      <w:tr w14:paraId="305E32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2" w:hRule="atLeast"/>
          <w:jc w:val="center"/>
        </w:trPr>
        <w:tc>
          <w:tcPr>
            <w:tcW w:w="697" w:type="dxa"/>
            <w:noWrap w:val="0"/>
            <w:vAlign w:val="center"/>
          </w:tcPr>
          <w:p w14:paraId="61A88C30">
            <w:pPr>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hint="eastAsia" w:ascii="Times New Roman" w:hAnsi="Times New Roman" w:eastAsia="仿宋" w:cs="仿宋"/>
                <w:sz w:val="24"/>
                <w:szCs w:val="24"/>
                <w:lang w:val="en-US" w:eastAsia="zh-CN"/>
              </w:rPr>
            </w:pPr>
            <w:r>
              <w:rPr>
                <w:rFonts w:hint="eastAsia" w:ascii="Times New Roman" w:hAnsi="Times New Roman" w:eastAsia="仿宋" w:cs="仿宋"/>
                <w:sz w:val="24"/>
                <w:szCs w:val="24"/>
                <w:lang w:val="en-US" w:eastAsia="zh-CN"/>
              </w:rPr>
              <w:t>8</w:t>
            </w:r>
          </w:p>
        </w:tc>
        <w:tc>
          <w:tcPr>
            <w:tcW w:w="1508" w:type="dxa"/>
            <w:noWrap w:val="0"/>
            <w:vAlign w:val="center"/>
          </w:tcPr>
          <w:p w14:paraId="136DD321">
            <w:pPr>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hint="eastAsia" w:ascii="Times New Roman" w:hAnsi="Times New Roman" w:eastAsia="仿宋" w:cs="仿宋"/>
                <w:sz w:val="24"/>
                <w:szCs w:val="24"/>
              </w:rPr>
            </w:pPr>
            <w:r>
              <w:rPr>
                <w:rFonts w:hint="eastAsia" w:ascii="Times New Roman" w:hAnsi="Times New Roman" w:eastAsia="仿宋" w:cs="仿宋"/>
                <w:sz w:val="24"/>
                <w:szCs w:val="24"/>
              </w:rPr>
              <w:t>数控铣</w:t>
            </w:r>
          </w:p>
        </w:tc>
        <w:tc>
          <w:tcPr>
            <w:tcW w:w="6662" w:type="dxa"/>
            <w:noWrap w:val="0"/>
            <w:vAlign w:val="center"/>
          </w:tcPr>
          <w:p w14:paraId="05BE7933">
            <w:pPr>
              <w:keepNext w:val="0"/>
              <w:keepLines w:val="0"/>
              <w:pageBreakBefore w:val="0"/>
              <w:widowControl/>
              <w:kinsoku w:val="0"/>
              <w:wordWrap/>
              <w:overflowPunct/>
              <w:topLinePunct w:val="0"/>
              <w:autoSpaceDE w:val="0"/>
              <w:autoSpaceDN w:val="0"/>
              <w:bidi w:val="0"/>
              <w:adjustRightInd w:val="0"/>
              <w:snapToGrid w:val="0"/>
              <w:spacing w:line="300" w:lineRule="exact"/>
              <w:ind w:left="0"/>
              <w:jc w:val="left"/>
              <w:textAlignment w:val="baseline"/>
              <w:rPr>
                <w:rFonts w:hint="eastAsia" w:ascii="Times New Roman" w:hAnsi="Times New Roman" w:eastAsia="仿宋" w:cs="仿宋"/>
                <w:sz w:val="21"/>
                <w:szCs w:val="21"/>
              </w:rPr>
            </w:pPr>
            <w:r>
              <w:rPr>
                <w:rFonts w:hint="eastAsia" w:ascii="Times New Roman" w:hAnsi="Times New Roman" w:eastAsia="仿宋" w:cs="仿宋"/>
                <w:sz w:val="21"/>
                <w:szCs w:val="21"/>
              </w:rPr>
              <w:t>本赛项要求选手操作数控铣床以去除材料的方式来制造零件，要求选手了解工程图纸和规范；掌握表面粗糙度、形位公差的标准等；识别不同的加工工艺、功能参数，定义和调整切削参数等；进行工艺规划，利用cad/cam系统生成程序和g代码，完成刀具安装及刀具参数设置、工件安装及工件坐标原点设置等；执行加工程序，完成工件测量与加工。</w:t>
            </w:r>
          </w:p>
        </w:tc>
      </w:tr>
      <w:tr w14:paraId="4B018F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2" w:hRule="atLeast"/>
          <w:jc w:val="center"/>
        </w:trPr>
        <w:tc>
          <w:tcPr>
            <w:tcW w:w="697" w:type="dxa"/>
            <w:noWrap w:val="0"/>
            <w:vAlign w:val="center"/>
          </w:tcPr>
          <w:p w14:paraId="170E494E">
            <w:pPr>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hint="eastAsia" w:ascii="Times New Roman" w:hAnsi="Times New Roman" w:eastAsia="仿宋" w:cs="仿宋"/>
                <w:sz w:val="24"/>
                <w:szCs w:val="24"/>
                <w:lang w:val="en-US" w:eastAsia="zh-CN"/>
              </w:rPr>
            </w:pPr>
            <w:r>
              <w:rPr>
                <w:rFonts w:hint="eastAsia" w:ascii="Times New Roman" w:hAnsi="Times New Roman" w:eastAsia="仿宋" w:cs="仿宋"/>
                <w:sz w:val="24"/>
                <w:szCs w:val="24"/>
                <w:lang w:val="en-US" w:eastAsia="zh-CN"/>
              </w:rPr>
              <w:t>9</w:t>
            </w:r>
          </w:p>
        </w:tc>
        <w:tc>
          <w:tcPr>
            <w:tcW w:w="1508" w:type="dxa"/>
            <w:noWrap w:val="0"/>
            <w:vAlign w:val="center"/>
          </w:tcPr>
          <w:p w14:paraId="07F36696">
            <w:pPr>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hint="eastAsia" w:ascii="Times New Roman" w:hAnsi="Times New Roman" w:eastAsia="仿宋" w:cs="仿宋"/>
                <w:sz w:val="24"/>
                <w:szCs w:val="24"/>
                <w:lang w:eastAsia="zh-CN"/>
              </w:rPr>
            </w:pPr>
            <w:r>
              <w:rPr>
                <w:rFonts w:hint="eastAsia" w:ascii="Times New Roman" w:hAnsi="Times New Roman" w:eastAsia="仿宋" w:cs="仿宋"/>
                <w:sz w:val="24"/>
                <w:szCs w:val="24"/>
              </w:rPr>
              <w:t>数控</w:t>
            </w:r>
            <w:r>
              <w:rPr>
                <w:rFonts w:hint="eastAsia" w:ascii="Times New Roman" w:hAnsi="Times New Roman" w:eastAsia="仿宋" w:cs="仿宋"/>
                <w:sz w:val="24"/>
                <w:szCs w:val="24"/>
                <w:lang w:eastAsia="zh-CN"/>
              </w:rPr>
              <w:t>车</w:t>
            </w:r>
          </w:p>
        </w:tc>
        <w:tc>
          <w:tcPr>
            <w:tcW w:w="6662" w:type="dxa"/>
            <w:noWrap w:val="0"/>
            <w:vAlign w:val="center"/>
          </w:tcPr>
          <w:p w14:paraId="19050507">
            <w:pPr>
              <w:keepNext w:val="0"/>
              <w:keepLines w:val="0"/>
              <w:pageBreakBefore w:val="0"/>
              <w:widowControl/>
              <w:kinsoku w:val="0"/>
              <w:wordWrap/>
              <w:overflowPunct/>
              <w:topLinePunct w:val="0"/>
              <w:autoSpaceDE w:val="0"/>
              <w:autoSpaceDN w:val="0"/>
              <w:bidi w:val="0"/>
              <w:adjustRightInd w:val="0"/>
              <w:snapToGrid w:val="0"/>
              <w:spacing w:line="300" w:lineRule="exact"/>
              <w:ind w:left="0"/>
              <w:jc w:val="left"/>
              <w:textAlignment w:val="baseline"/>
              <w:rPr>
                <w:rFonts w:hint="eastAsia" w:ascii="Times New Roman" w:hAnsi="Times New Roman" w:eastAsia="仿宋" w:cs="仿宋"/>
                <w:sz w:val="21"/>
                <w:szCs w:val="21"/>
              </w:rPr>
            </w:pPr>
            <w:r>
              <w:rPr>
                <w:rFonts w:hint="eastAsia" w:ascii="Times New Roman" w:hAnsi="Times New Roman" w:eastAsia="仿宋" w:cs="仿宋"/>
                <w:sz w:val="21"/>
                <w:szCs w:val="21"/>
              </w:rPr>
              <w:t>本赛项要求选手在规定的时间内通过手工编程或借助计算机编程的方式完成图纸要求的赛件，考察选手机械加工工艺能力、数控编程能力、合理使用加工刀具能力、合理选择加工参数能力，以及运用专业知识均衡处理质量、效率、成本的综合能力以及安全和环保意识。</w:t>
            </w:r>
          </w:p>
        </w:tc>
      </w:tr>
      <w:tr w14:paraId="7A3230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2" w:hRule="atLeast"/>
          <w:jc w:val="center"/>
        </w:trPr>
        <w:tc>
          <w:tcPr>
            <w:tcW w:w="697" w:type="dxa"/>
            <w:noWrap w:val="0"/>
            <w:vAlign w:val="center"/>
          </w:tcPr>
          <w:p w14:paraId="79558A75">
            <w:pPr>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hint="eastAsia" w:ascii="Times New Roman" w:hAnsi="Times New Roman" w:eastAsia="仿宋" w:cs="仿宋"/>
                <w:sz w:val="24"/>
                <w:szCs w:val="24"/>
                <w:lang w:val="en-US" w:eastAsia="zh-CN"/>
              </w:rPr>
            </w:pPr>
            <w:r>
              <w:rPr>
                <w:rFonts w:hint="eastAsia" w:ascii="Times New Roman" w:hAnsi="Times New Roman" w:eastAsia="仿宋" w:cs="仿宋"/>
                <w:sz w:val="24"/>
                <w:szCs w:val="24"/>
                <w:lang w:val="en-US" w:eastAsia="zh-CN"/>
              </w:rPr>
              <w:t>10</w:t>
            </w:r>
          </w:p>
        </w:tc>
        <w:tc>
          <w:tcPr>
            <w:tcW w:w="1508" w:type="dxa"/>
            <w:noWrap w:val="0"/>
            <w:vAlign w:val="center"/>
          </w:tcPr>
          <w:p w14:paraId="60D0E5BE">
            <w:pPr>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hint="eastAsia" w:ascii="Times New Roman" w:hAnsi="Times New Roman" w:eastAsia="仿宋" w:cs="仿宋"/>
                <w:sz w:val="24"/>
                <w:szCs w:val="24"/>
              </w:rPr>
            </w:pPr>
            <w:r>
              <w:rPr>
                <w:rFonts w:hint="eastAsia" w:ascii="Times New Roman" w:hAnsi="Times New Roman" w:eastAsia="仿宋" w:cs="仿宋"/>
                <w:sz w:val="24"/>
                <w:szCs w:val="24"/>
              </w:rPr>
              <w:t>汽车装调</w:t>
            </w:r>
          </w:p>
        </w:tc>
        <w:tc>
          <w:tcPr>
            <w:tcW w:w="6662" w:type="dxa"/>
            <w:noWrap w:val="0"/>
            <w:vAlign w:val="center"/>
          </w:tcPr>
          <w:p w14:paraId="340C113F">
            <w:pPr>
              <w:keepNext w:val="0"/>
              <w:keepLines w:val="0"/>
              <w:pageBreakBefore w:val="0"/>
              <w:widowControl/>
              <w:kinsoku w:val="0"/>
              <w:wordWrap/>
              <w:overflowPunct/>
              <w:topLinePunct w:val="0"/>
              <w:autoSpaceDE w:val="0"/>
              <w:autoSpaceDN w:val="0"/>
              <w:bidi w:val="0"/>
              <w:adjustRightInd w:val="0"/>
              <w:snapToGrid w:val="0"/>
              <w:spacing w:line="300" w:lineRule="exact"/>
              <w:ind w:left="0"/>
              <w:jc w:val="left"/>
              <w:textAlignment w:val="baseline"/>
              <w:rPr>
                <w:rFonts w:hint="eastAsia" w:ascii="Times New Roman" w:hAnsi="Times New Roman" w:eastAsia="仿宋" w:cs="仿宋"/>
                <w:sz w:val="21"/>
                <w:szCs w:val="21"/>
              </w:rPr>
            </w:pPr>
            <w:r>
              <w:rPr>
                <w:rFonts w:hint="eastAsia" w:ascii="Times New Roman" w:hAnsi="Times New Roman" w:eastAsia="仿宋" w:cs="仿宋"/>
                <w:sz w:val="21"/>
                <w:szCs w:val="21"/>
              </w:rPr>
              <w:t>汽车装配调整是整个汽车制造的关键工序，装配调整技能的高低直接关系到汽车整车性能、品牌价值和企业良好形象。同样的设备，同样的工艺，工人技能不一样，生产出的产品也就不一样，这是企业最重要的核心竞争力之一。本赛项要求选手在规定的时间内专用工装、设备和装配线，装配调试汽车零部件、总成和整车，并对检测出的故障进行排除；为保证比赛的公平、公正，要求选手同时对本企业和外企业生产的车型进行调试。</w:t>
            </w:r>
          </w:p>
        </w:tc>
      </w:tr>
      <w:tr w14:paraId="666363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24" w:hRule="atLeast"/>
          <w:jc w:val="center"/>
        </w:trPr>
        <w:tc>
          <w:tcPr>
            <w:tcW w:w="697" w:type="dxa"/>
            <w:noWrap w:val="0"/>
            <w:vAlign w:val="center"/>
          </w:tcPr>
          <w:p w14:paraId="2CF194EF">
            <w:pPr>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hint="eastAsia" w:ascii="Times New Roman" w:hAnsi="Times New Roman" w:eastAsia="仿宋" w:cs="仿宋"/>
                <w:sz w:val="24"/>
                <w:szCs w:val="24"/>
                <w:lang w:val="en-US" w:eastAsia="zh-CN"/>
              </w:rPr>
            </w:pPr>
            <w:r>
              <w:rPr>
                <w:rFonts w:hint="eastAsia" w:ascii="Times New Roman" w:hAnsi="Times New Roman" w:eastAsia="仿宋" w:cs="仿宋"/>
                <w:sz w:val="24"/>
                <w:szCs w:val="24"/>
                <w:lang w:val="en-US" w:eastAsia="zh-CN"/>
              </w:rPr>
              <w:t>11</w:t>
            </w:r>
          </w:p>
        </w:tc>
        <w:tc>
          <w:tcPr>
            <w:tcW w:w="1508" w:type="dxa"/>
            <w:noWrap w:val="0"/>
            <w:vAlign w:val="center"/>
          </w:tcPr>
          <w:p w14:paraId="5200A1BA">
            <w:pPr>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hint="eastAsia" w:ascii="Times New Roman" w:hAnsi="Times New Roman" w:eastAsia="仿宋" w:cs="仿宋"/>
                <w:sz w:val="24"/>
                <w:szCs w:val="24"/>
              </w:rPr>
            </w:pPr>
            <w:r>
              <w:rPr>
                <w:rFonts w:hint="eastAsia" w:ascii="Times New Roman" w:hAnsi="Times New Roman" w:eastAsia="仿宋" w:cs="仿宋"/>
                <w:sz w:val="24"/>
                <w:szCs w:val="24"/>
              </w:rPr>
              <w:t>质量管理</w:t>
            </w:r>
          </w:p>
        </w:tc>
        <w:tc>
          <w:tcPr>
            <w:tcW w:w="6662" w:type="dxa"/>
            <w:noWrap w:val="0"/>
            <w:vAlign w:val="center"/>
          </w:tcPr>
          <w:p w14:paraId="18C7ED7B">
            <w:pPr>
              <w:keepNext w:val="0"/>
              <w:keepLines w:val="0"/>
              <w:pageBreakBefore w:val="0"/>
              <w:widowControl/>
              <w:kinsoku w:val="0"/>
              <w:wordWrap/>
              <w:overflowPunct/>
              <w:topLinePunct w:val="0"/>
              <w:autoSpaceDE w:val="0"/>
              <w:autoSpaceDN w:val="0"/>
              <w:bidi w:val="0"/>
              <w:adjustRightInd w:val="0"/>
              <w:snapToGrid w:val="0"/>
              <w:spacing w:line="300" w:lineRule="exact"/>
              <w:ind w:left="0"/>
              <w:jc w:val="left"/>
              <w:textAlignment w:val="baseline"/>
              <w:rPr>
                <w:rFonts w:hint="eastAsia" w:ascii="Times New Roman" w:hAnsi="Times New Roman" w:eastAsia="仿宋" w:cs="仿宋"/>
                <w:sz w:val="21"/>
                <w:szCs w:val="21"/>
              </w:rPr>
            </w:pPr>
            <w:r>
              <w:rPr>
                <w:rFonts w:hint="eastAsia" w:ascii="Times New Roman" w:hAnsi="Times New Roman" w:eastAsia="仿宋" w:cs="仿宋"/>
                <w:sz w:val="21"/>
                <w:szCs w:val="21"/>
              </w:rPr>
              <w:t>质量管理是推进质量强国，推进企业产品质量提升的重要参与者，要熟练掌握质量管理原则、方针、方法和工具，为质量强企业、质量强国注入自己的力量。质量管理项目是综合考察从事量管理方向工作人员的综合职业技能的竞赛项目。通过本项目竞赛，使选手能使用现代化手段完成质量管理项目。本赛项主要考核选手对全面质量管理的基本原理，模式和方法知识的理解，常用图表的绘制和分析、常用的数据分析模型和统计学模型等方法的实施，包括运用新老七种工具：调查表、分层法、排列图、因果图、直方图、控制图、散布图、系统图、关联图、亲和图、矩阵图、矩阵数据分析法、PDPC法、箭条图、优选法、正交试验、假设检验，用以解决现场生产、服务、建设等质量问题，展现选手的综合职业素质和创新水平，以及职业素养与安全意识等技术技能</w:t>
            </w:r>
          </w:p>
        </w:tc>
      </w:tr>
      <w:tr w14:paraId="4EF46F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0" w:hRule="atLeast"/>
          <w:jc w:val="center"/>
        </w:trPr>
        <w:tc>
          <w:tcPr>
            <w:tcW w:w="697" w:type="dxa"/>
            <w:noWrap w:val="0"/>
            <w:vAlign w:val="center"/>
          </w:tcPr>
          <w:p w14:paraId="64923FFF">
            <w:pPr>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hint="eastAsia" w:ascii="Times New Roman" w:hAnsi="Times New Roman" w:eastAsia="仿宋" w:cs="仿宋"/>
                <w:sz w:val="24"/>
                <w:szCs w:val="24"/>
                <w:lang w:val="en-US" w:eastAsia="zh-CN"/>
              </w:rPr>
            </w:pPr>
            <w:r>
              <w:rPr>
                <w:rFonts w:hint="eastAsia" w:ascii="Times New Roman" w:hAnsi="Times New Roman" w:eastAsia="仿宋" w:cs="仿宋"/>
                <w:sz w:val="24"/>
                <w:szCs w:val="24"/>
                <w:lang w:val="en-US" w:eastAsia="zh-CN"/>
              </w:rPr>
              <w:t>12</w:t>
            </w:r>
          </w:p>
        </w:tc>
        <w:tc>
          <w:tcPr>
            <w:tcW w:w="1508" w:type="dxa"/>
            <w:noWrap w:val="0"/>
            <w:vAlign w:val="center"/>
          </w:tcPr>
          <w:p w14:paraId="0DEEB987">
            <w:pPr>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hint="eastAsia" w:ascii="Times New Roman" w:hAnsi="Times New Roman" w:eastAsia="仿宋" w:cs="仿宋"/>
                <w:sz w:val="24"/>
                <w:szCs w:val="24"/>
              </w:rPr>
            </w:pPr>
            <w:r>
              <w:rPr>
                <w:rFonts w:hint="eastAsia" w:ascii="Times New Roman" w:hAnsi="Times New Roman" w:eastAsia="仿宋" w:cs="仿宋"/>
                <w:sz w:val="24"/>
                <w:szCs w:val="24"/>
              </w:rPr>
              <w:t>智能物流</w:t>
            </w:r>
          </w:p>
        </w:tc>
        <w:tc>
          <w:tcPr>
            <w:tcW w:w="6662" w:type="dxa"/>
            <w:noWrap w:val="0"/>
            <w:vAlign w:val="center"/>
          </w:tcPr>
          <w:p w14:paraId="3EE790A1">
            <w:pPr>
              <w:keepNext w:val="0"/>
              <w:keepLines w:val="0"/>
              <w:pageBreakBefore w:val="0"/>
              <w:widowControl/>
              <w:kinsoku w:val="0"/>
              <w:wordWrap/>
              <w:overflowPunct/>
              <w:topLinePunct w:val="0"/>
              <w:autoSpaceDE w:val="0"/>
              <w:autoSpaceDN w:val="0"/>
              <w:bidi w:val="0"/>
              <w:adjustRightInd w:val="0"/>
              <w:snapToGrid w:val="0"/>
              <w:spacing w:line="300" w:lineRule="exact"/>
              <w:ind w:left="0"/>
              <w:jc w:val="left"/>
              <w:textAlignment w:val="baseline"/>
              <w:rPr>
                <w:rFonts w:hint="eastAsia" w:ascii="Times New Roman" w:hAnsi="Times New Roman" w:eastAsia="仿宋" w:cs="仿宋"/>
                <w:sz w:val="21"/>
                <w:szCs w:val="21"/>
              </w:rPr>
            </w:pPr>
            <w:r>
              <w:rPr>
                <w:rFonts w:hint="eastAsia" w:ascii="Times New Roman" w:hAnsi="Times New Roman" w:eastAsia="仿宋" w:cs="仿宋"/>
                <w:sz w:val="21"/>
                <w:szCs w:val="21"/>
              </w:rPr>
              <w:t>理论笔试：</w:t>
            </w:r>
          </w:p>
          <w:p w14:paraId="07EA5CDF">
            <w:pPr>
              <w:keepNext w:val="0"/>
              <w:keepLines w:val="0"/>
              <w:pageBreakBefore w:val="0"/>
              <w:widowControl/>
              <w:kinsoku w:val="0"/>
              <w:wordWrap/>
              <w:overflowPunct/>
              <w:topLinePunct w:val="0"/>
              <w:autoSpaceDE w:val="0"/>
              <w:autoSpaceDN w:val="0"/>
              <w:bidi w:val="0"/>
              <w:adjustRightInd w:val="0"/>
              <w:snapToGrid w:val="0"/>
              <w:spacing w:line="300" w:lineRule="exact"/>
              <w:ind w:left="0"/>
              <w:jc w:val="left"/>
              <w:textAlignment w:val="baseline"/>
              <w:rPr>
                <w:rFonts w:hint="eastAsia" w:ascii="Times New Roman" w:hAnsi="Times New Roman" w:eastAsia="仿宋" w:cs="仿宋"/>
                <w:sz w:val="21"/>
                <w:szCs w:val="21"/>
              </w:rPr>
            </w:pPr>
            <w:r>
              <w:rPr>
                <w:rFonts w:hint="eastAsia" w:ascii="Times New Roman" w:hAnsi="Times New Roman" w:eastAsia="仿宋" w:cs="仿宋"/>
                <w:sz w:val="21"/>
                <w:szCs w:val="21"/>
              </w:rPr>
              <w:t>①仓储布局和运营②仓储装备辨识、适配和应用③智慧仓储软硬件和技术④智慧仓储收发存等业务流程和设计⑤数字化等智慧仓储运营管理⑥包装料架&amp;器具的设计与开发</w:t>
            </w:r>
          </w:p>
          <w:p w14:paraId="4F5157F5">
            <w:pPr>
              <w:keepNext w:val="0"/>
              <w:keepLines w:val="0"/>
              <w:pageBreakBefore w:val="0"/>
              <w:widowControl/>
              <w:kinsoku w:val="0"/>
              <w:wordWrap/>
              <w:overflowPunct/>
              <w:topLinePunct w:val="0"/>
              <w:autoSpaceDE w:val="0"/>
              <w:autoSpaceDN w:val="0"/>
              <w:bidi w:val="0"/>
              <w:adjustRightInd w:val="0"/>
              <w:snapToGrid w:val="0"/>
              <w:spacing w:line="300" w:lineRule="exact"/>
              <w:ind w:left="0"/>
              <w:jc w:val="left"/>
              <w:textAlignment w:val="baseline"/>
              <w:rPr>
                <w:rFonts w:hint="eastAsia" w:ascii="Times New Roman" w:hAnsi="Times New Roman" w:eastAsia="仿宋" w:cs="仿宋"/>
                <w:sz w:val="21"/>
                <w:szCs w:val="21"/>
              </w:rPr>
            </w:pPr>
            <w:r>
              <w:rPr>
                <w:rFonts w:hint="eastAsia" w:ascii="Times New Roman" w:hAnsi="Times New Roman" w:eastAsia="仿宋" w:cs="仿宋"/>
                <w:sz w:val="21"/>
                <w:szCs w:val="21"/>
              </w:rPr>
              <w:t>⑦无人仓储技术理论知识原理（自动存储、自动搬运、自动叉卸、自动收发等）</w:t>
            </w:r>
          </w:p>
          <w:p w14:paraId="10890E1A">
            <w:pPr>
              <w:keepNext w:val="0"/>
              <w:keepLines w:val="0"/>
              <w:pageBreakBefore w:val="0"/>
              <w:widowControl/>
              <w:kinsoku w:val="0"/>
              <w:wordWrap/>
              <w:overflowPunct/>
              <w:topLinePunct w:val="0"/>
              <w:autoSpaceDE w:val="0"/>
              <w:autoSpaceDN w:val="0"/>
              <w:bidi w:val="0"/>
              <w:adjustRightInd w:val="0"/>
              <w:snapToGrid w:val="0"/>
              <w:spacing w:line="300" w:lineRule="exact"/>
              <w:ind w:left="0"/>
              <w:jc w:val="left"/>
              <w:textAlignment w:val="baseline"/>
              <w:rPr>
                <w:rFonts w:hint="eastAsia" w:ascii="Times New Roman" w:hAnsi="Times New Roman" w:eastAsia="仿宋" w:cs="仿宋"/>
                <w:sz w:val="21"/>
                <w:szCs w:val="21"/>
              </w:rPr>
            </w:pPr>
            <w:r>
              <w:rPr>
                <w:rFonts w:hint="eastAsia" w:ascii="Times New Roman" w:hAnsi="Times New Roman" w:eastAsia="仿宋" w:cs="仿宋"/>
                <w:sz w:val="21"/>
                <w:szCs w:val="21"/>
              </w:rPr>
              <w:t>⑧无人仓设计（案例设计：包含设备选型、流量分析、作业流程、投资收益分析等）</w:t>
            </w:r>
          </w:p>
          <w:p w14:paraId="1DED11A6">
            <w:pPr>
              <w:keepNext w:val="0"/>
              <w:keepLines w:val="0"/>
              <w:pageBreakBefore w:val="0"/>
              <w:widowControl/>
              <w:kinsoku w:val="0"/>
              <w:wordWrap/>
              <w:overflowPunct/>
              <w:topLinePunct w:val="0"/>
              <w:autoSpaceDE w:val="0"/>
              <w:autoSpaceDN w:val="0"/>
              <w:bidi w:val="0"/>
              <w:adjustRightInd w:val="0"/>
              <w:snapToGrid w:val="0"/>
              <w:spacing w:line="300" w:lineRule="exact"/>
              <w:ind w:left="0"/>
              <w:jc w:val="left"/>
              <w:textAlignment w:val="baseline"/>
              <w:rPr>
                <w:rFonts w:hint="eastAsia" w:ascii="Times New Roman" w:hAnsi="Times New Roman" w:eastAsia="仿宋" w:cs="仿宋"/>
                <w:sz w:val="21"/>
                <w:szCs w:val="21"/>
              </w:rPr>
            </w:pPr>
            <w:r>
              <w:rPr>
                <w:rFonts w:hint="eastAsia" w:ascii="Times New Roman" w:hAnsi="Times New Roman" w:eastAsia="仿宋" w:cs="仿宋"/>
                <w:sz w:val="21"/>
                <w:szCs w:val="21"/>
              </w:rPr>
              <w:t>实操比试：</w:t>
            </w:r>
          </w:p>
          <w:p w14:paraId="34270886">
            <w:pPr>
              <w:keepNext w:val="0"/>
              <w:keepLines w:val="0"/>
              <w:pageBreakBefore w:val="0"/>
              <w:widowControl/>
              <w:kinsoku w:val="0"/>
              <w:wordWrap/>
              <w:overflowPunct/>
              <w:topLinePunct w:val="0"/>
              <w:autoSpaceDE w:val="0"/>
              <w:autoSpaceDN w:val="0"/>
              <w:bidi w:val="0"/>
              <w:adjustRightInd w:val="0"/>
              <w:snapToGrid w:val="0"/>
              <w:spacing w:line="300" w:lineRule="exact"/>
              <w:ind w:left="0"/>
              <w:jc w:val="left"/>
              <w:textAlignment w:val="baseline"/>
              <w:rPr>
                <w:rFonts w:hint="eastAsia" w:ascii="Times New Roman" w:hAnsi="Times New Roman" w:eastAsia="仿宋" w:cs="仿宋"/>
                <w:sz w:val="21"/>
                <w:szCs w:val="21"/>
              </w:rPr>
            </w:pPr>
            <w:r>
              <w:rPr>
                <w:rFonts w:hint="eastAsia" w:ascii="Times New Roman" w:hAnsi="Times New Roman" w:eastAsia="仿宋" w:cs="仿宋"/>
                <w:sz w:val="21"/>
                <w:szCs w:val="21"/>
              </w:rPr>
              <w:t>①物流仓库运营诊断（现场诊断）</w:t>
            </w:r>
          </w:p>
          <w:p w14:paraId="47DFB954">
            <w:pPr>
              <w:keepNext w:val="0"/>
              <w:keepLines w:val="0"/>
              <w:pageBreakBefore w:val="0"/>
              <w:widowControl/>
              <w:kinsoku w:val="0"/>
              <w:wordWrap/>
              <w:overflowPunct/>
              <w:topLinePunct w:val="0"/>
              <w:autoSpaceDE w:val="0"/>
              <w:autoSpaceDN w:val="0"/>
              <w:bidi w:val="0"/>
              <w:adjustRightInd w:val="0"/>
              <w:snapToGrid w:val="0"/>
              <w:spacing w:line="300" w:lineRule="exact"/>
              <w:ind w:left="0"/>
              <w:jc w:val="left"/>
              <w:textAlignment w:val="baseline"/>
              <w:rPr>
                <w:rFonts w:hint="eastAsia" w:ascii="Times New Roman" w:hAnsi="Times New Roman" w:eastAsia="仿宋" w:cs="仿宋"/>
                <w:sz w:val="21"/>
                <w:szCs w:val="21"/>
              </w:rPr>
            </w:pPr>
            <w:r>
              <w:rPr>
                <w:rFonts w:hint="eastAsia" w:ascii="Times New Roman" w:hAnsi="Times New Roman" w:eastAsia="仿宋" w:cs="仿宋"/>
                <w:sz w:val="21"/>
                <w:szCs w:val="21"/>
              </w:rPr>
              <w:t>②物流仓库的智慧仓储方案设计（基于现场诊断的改造）</w:t>
            </w:r>
          </w:p>
          <w:p w14:paraId="6801949F">
            <w:pPr>
              <w:keepNext w:val="0"/>
              <w:keepLines w:val="0"/>
              <w:pageBreakBefore w:val="0"/>
              <w:widowControl/>
              <w:kinsoku w:val="0"/>
              <w:wordWrap/>
              <w:overflowPunct/>
              <w:topLinePunct w:val="0"/>
              <w:autoSpaceDE w:val="0"/>
              <w:autoSpaceDN w:val="0"/>
              <w:bidi w:val="0"/>
              <w:adjustRightInd w:val="0"/>
              <w:snapToGrid w:val="0"/>
              <w:spacing w:line="300" w:lineRule="exact"/>
              <w:ind w:left="0"/>
              <w:jc w:val="left"/>
              <w:textAlignment w:val="baseline"/>
              <w:rPr>
                <w:rFonts w:hint="eastAsia" w:ascii="Times New Roman" w:hAnsi="Times New Roman" w:eastAsia="仿宋" w:cs="仿宋"/>
                <w:sz w:val="21"/>
                <w:szCs w:val="21"/>
              </w:rPr>
            </w:pPr>
            <w:r>
              <w:rPr>
                <w:rFonts w:hint="eastAsia" w:ascii="Times New Roman" w:hAnsi="Times New Roman" w:eastAsia="仿宋" w:cs="仿宋"/>
                <w:sz w:val="21"/>
                <w:szCs w:val="21"/>
              </w:rPr>
              <w:t>③无人仓库的料架/托盘/包装器具的选配适配</w:t>
            </w:r>
          </w:p>
          <w:p w14:paraId="5B6BB6E7">
            <w:pPr>
              <w:keepNext w:val="0"/>
              <w:keepLines w:val="0"/>
              <w:pageBreakBefore w:val="0"/>
              <w:widowControl/>
              <w:kinsoku w:val="0"/>
              <w:wordWrap/>
              <w:overflowPunct/>
              <w:topLinePunct w:val="0"/>
              <w:autoSpaceDE w:val="0"/>
              <w:autoSpaceDN w:val="0"/>
              <w:bidi w:val="0"/>
              <w:adjustRightInd w:val="0"/>
              <w:snapToGrid w:val="0"/>
              <w:spacing w:line="300" w:lineRule="exact"/>
              <w:ind w:left="0"/>
              <w:jc w:val="left"/>
              <w:textAlignment w:val="baseline"/>
              <w:rPr>
                <w:rFonts w:hint="eastAsia" w:ascii="Times New Roman" w:hAnsi="Times New Roman" w:eastAsia="仿宋" w:cs="仿宋"/>
                <w:sz w:val="21"/>
                <w:szCs w:val="21"/>
              </w:rPr>
            </w:pPr>
            <w:r>
              <w:rPr>
                <w:rFonts w:hint="eastAsia" w:ascii="Times New Roman" w:hAnsi="Times New Roman" w:eastAsia="仿宋" w:cs="仿宋"/>
                <w:sz w:val="21"/>
                <w:szCs w:val="21"/>
              </w:rPr>
              <w:t>④自动化仓储作业设备的启动调通、使用调配</w:t>
            </w:r>
          </w:p>
          <w:p w14:paraId="3F47C25E">
            <w:pPr>
              <w:keepNext w:val="0"/>
              <w:keepLines w:val="0"/>
              <w:pageBreakBefore w:val="0"/>
              <w:widowControl/>
              <w:kinsoku w:val="0"/>
              <w:wordWrap/>
              <w:overflowPunct/>
              <w:topLinePunct w:val="0"/>
              <w:autoSpaceDE w:val="0"/>
              <w:autoSpaceDN w:val="0"/>
              <w:bidi w:val="0"/>
              <w:adjustRightInd w:val="0"/>
              <w:snapToGrid w:val="0"/>
              <w:spacing w:line="300" w:lineRule="exact"/>
              <w:ind w:left="0"/>
              <w:jc w:val="left"/>
              <w:textAlignment w:val="baseline"/>
              <w:rPr>
                <w:rFonts w:hint="eastAsia" w:ascii="Times New Roman" w:hAnsi="Times New Roman" w:eastAsia="仿宋" w:cs="仿宋"/>
                <w:sz w:val="21"/>
                <w:szCs w:val="21"/>
              </w:rPr>
            </w:pPr>
            <w:r>
              <w:rPr>
                <w:rFonts w:hint="eastAsia" w:ascii="Times New Roman" w:hAnsi="Times New Roman" w:eastAsia="仿宋" w:cs="仿宋"/>
                <w:sz w:val="21"/>
                <w:szCs w:val="21"/>
              </w:rPr>
              <w:t>⑤自动化仓储作业设备的故障处理</w:t>
            </w:r>
          </w:p>
          <w:p w14:paraId="446B5E95">
            <w:pPr>
              <w:keepNext w:val="0"/>
              <w:keepLines w:val="0"/>
              <w:pageBreakBefore w:val="0"/>
              <w:widowControl/>
              <w:kinsoku w:val="0"/>
              <w:wordWrap/>
              <w:overflowPunct/>
              <w:topLinePunct w:val="0"/>
              <w:autoSpaceDE w:val="0"/>
              <w:autoSpaceDN w:val="0"/>
              <w:bidi w:val="0"/>
              <w:adjustRightInd w:val="0"/>
              <w:snapToGrid w:val="0"/>
              <w:spacing w:line="300" w:lineRule="exact"/>
              <w:ind w:left="0"/>
              <w:jc w:val="left"/>
              <w:textAlignment w:val="baseline"/>
              <w:rPr>
                <w:rFonts w:hint="eastAsia" w:ascii="Times New Roman" w:hAnsi="Times New Roman" w:eastAsia="仿宋" w:cs="仿宋"/>
                <w:sz w:val="21"/>
                <w:szCs w:val="21"/>
              </w:rPr>
            </w:pPr>
            <w:r>
              <w:rPr>
                <w:rFonts w:hint="eastAsia" w:ascii="Times New Roman" w:hAnsi="Times New Roman" w:eastAsia="仿宋" w:cs="仿宋"/>
                <w:sz w:val="21"/>
                <w:szCs w:val="21"/>
              </w:rPr>
              <w:t>⑥数字化仓储运营（系统）的现场设计、使用和结果输出</w:t>
            </w:r>
          </w:p>
          <w:p w14:paraId="3993650D">
            <w:pPr>
              <w:keepNext w:val="0"/>
              <w:keepLines w:val="0"/>
              <w:pageBreakBefore w:val="0"/>
              <w:widowControl/>
              <w:kinsoku w:val="0"/>
              <w:wordWrap/>
              <w:overflowPunct/>
              <w:topLinePunct w:val="0"/>
              <w:autoSpaceDE w:val="0"/>
              <w:autoSpaceDN w:val="0"/>
              <w:bidi w:val="0"/>
              <w:adjustRightInd w:val="0"/>
              <w:snapToGrid w:val="0"/>
              <w:spacing w:line="300" w:lineRule="exact"/>
              <w:ind w:left="0"/>
              <w:jc w:val="left"/>
              <w:textAlignment w:val="baseline"/>
              <w:rPr>
                <w:rFonts w:hint="eastAsia" w:ascii="Times New Roman" w:hAnsi="Times New Roman" w:eastAsia="仿宋" w:cs="仿宋"/>
                <w:sz w:val="21"/>
                <w:szCs w:val="21"/>
                <w:lang w:eastAsia="zh-CN"/>
              </w:rPr>
            </w:pPr>
            <w:r>
              <w:rPr>
                <w:rFonts w:hint="eastAsia" w:ascii="Times New Roman" w:hAnsi="Times New Roman" w:eastAsia="仿宋" w:cs="仿宋"/>
                <w:sz w:val="21"/>
                <w:szCs w:val="21"/>
              </w:rPr>
              <w:t>⑦无人仓储设备（AGC、无人车、小件无人仓、扫描门等）实操：生产启停、设备点检、简易故障处置（故障代码诊断解决）、效率分析及改善建议</w:t>
            </w:r>
            <w:r>
              <w:rPr>
                <w:rFonts w:hint="eastAsia" w:ascii="Times New Roman" w:hAnsi="Times New Roman" w:eastAsia="仿宋" w:cs="仿宋"/>
                <w:sz w:val="21"/>
                <w:szCs w:val="21"/>
                <w:lang w:eastAsia="zh-CN"/>
              </w:rPr>
              <w:t>。</w:t>
            </w:r>
          </w:p>
        </w:tc>
      </w:tr>
      <w:tr w14:paraId="373964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2" w:hRule="atLeast"/>
          <w:jc w:val="center"/>
        </w:trPr>
        <w:tc>
          <w:tcPr>
            <w:tcW w:w="697" w:type="dxa"/>
            <w:noWrap w:val="0"/>
            <w:vAlign w:val="center"/>
          </w:tcPr>
          <w:p w14:paraId="2D29E07B">
            <w:pPr>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hint="default" w:ascii="Times New Roman" w:hAnsi="Times New Roman" w:eastAsia="仿宋" w:cs="仿宋"/>
                <w:sz w:val="24"/>
                <w:szCs w:val="24"/>
                <w:lang w:val="en-US" w:eastAsia="zh-CN"/>
              </w:rPr>
            </w:pPr>
            <w:r>
              <w:rPr>
                <w:rFonts w:hint="eastAsia" w:ascii="Times New Roman" w:hAnsi="Times New Roman" w:eastAsia="仿宋" w:cs="仿宋"/>
                <w:sz w:val="24"/>
                <w:szCs w:val="24"/>
                <w:lang w:val="en-US" w:eastAsia="zh-CN"/>
              </w:rPr>
              <w:t>13</w:t>
            </w:r>
          </w:p>
        </w:tc>
        <w:tc>
          <w:tcPr>
            <w:tcW w:w="1508" w:type="dxa"/>
            <w:noWrap w:val="0"/>
            <w:vAlign w:val="center"/>
          </w:tcPr>
          <w:p w14:paraId="2ED523C0">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jc w:val="center"/>
              <w:textAlignment w:val="baseline"/>
              <w:rPr>
                <w:rFonts w:hint="eastAsia" w:ascii="Times New Roman" w:hAnsi="Times New Roman" w:eastAsia="仿宋" w:cs="仿宋"/>
                <w:sz w:val="24"/>
                <w:szCs w:val="24"/>
              </w:rPr>
            </w:pPr>
            <w:r>
              <w:rPr>
                <w:rFonts w:hint="eastAsia" w:ascii="Times New Roman" w:hAnsi="Times New Roman" w:eastAsia="仿宋" w:cs="仿宋"/>
                <w:sz w:val="24"/>
                <w:szCs w:val="24"/>
              </w:rPr>
              <w:t>网络安全</w:t>
            </w:r>
          </w:p>
        </w:tc>
        <w:tc>
          <w:tcPr>
            <w:tcW w:w="6662" w:type="dxa"/>
            <w:noWrap w:val="0"/>
            <w:vAlign w:val="center"/>
          </w:tcPr>
          <w:p w14:paraId="6C035021">
            <w:pPr>
              <w:keepNext w:val="0"/>
              <w:keepLines w:val="0"/>
              <w:pageBreakBefore w:val="0"/>
              <w:widowControl/>
              <w:kinsoku w:val="0"/>
              <w:wordWrap/>
              <w:overflowPunct/>
              <w:topLinePunct w:val="0"/>
              <w:autoSpaceDE w:val="0"/>
              <w:autoSpaceDN w:val="0"/>
              <w:bidi w:val="0"/>
              <w:adjustRightInd w:val="0"/>
              <w:snapToGrid w:val="0"/>
              <w:spacing w:line="300" w:lineRule="exact"/>
              <w:ind w:left="0"/>
              <w:jc w:val="left"/>
              <w:textAlignment w:val="baseline"/>
              <w:rPr>
                <w:rFonts w:hint="eastAsia" w:ascii="Times New Roman" w:hAnsi="Times New Roman" w:eastAsia="仿宋" w:cs="仿宋"/>
                <w:sz w:val="21"/>
                <w:szCs w:val="21"/>
              </w:rPr>
            </w:pPr>
            <w:r>
              <w:rPr>
                <w:rFonts w:hint="eastAsia" w:ascii="Times New Roman" w:hAnsi="Times New Roman" w:eastAsia="仿宋" w:cs="仿宋"/>
                <w:sz w:val="21"/>
                <w:szCs w:val="21"/>
                <w:lang w:eastAsia="zh-CN"/>
              </w:rPr>
              <w:t>竞赛</w:t>
            </w:r>
            <w:r>
              <w:rPr>
                <w:rFonts w:hint="eastAsia" w:ascii="Times New Roman" w:hAnsi="Times New Roman" w:eastAsia="仿宋" w:cs="仿宋"/>
                <w:sz w:val="21"/>
                <w:szCs w:val="21"/>
              </w:rPr>
              <w:t>类型：</w:t>
            </w:r>
          </w:p>
          <w:p w14:paraId="2AEB6313">
            <w:pPr>
              <w:keepNext w:val="0"/>
              <w:keepLines w:val="0"/>
              <w:pageBreakBefore w:val="0"/>
              <w:widowControl/>
              <w:kinsoku w:val="0"/>
              <w:wordWrap/>
              <w:overflowPunct/>
              <w:topLinePunct w:val="0"/>
              <w:autoSpaceDE w:val="0"/>
              <w:autoSpaceDN w:val="0"/>
              <w:bidi w:val="0"/>
              <w:adjustRightInd w:val="0"/>
              <w:snapToGrid w:val="0"/>
              <w:spacing w:line="300" w:lineRule="exact"/>
              <w:ind w:left="0"/>
              <w:jc w:val="left"/>
              <w:textAlignment w:val="baseline"/>
              <w:rPr>
                <w:rFonts w:hint="eastAsia" w:ascii="Times New Roman" w:hAnsi="Times New Roman" w:eastAsia="仿宋" w:cs="仿宋"/>
                <w:sz w:val="21"/>
                <w:szCs w:val="21"/>
              </w:rPr>
            </w:pPr>
            <w:r>
              <w:rPr>
                <w:rFonts w:hint="eastAsia" w:ascii="Times New Roman" w:hAnsi="Times New Roman" w:eastAsia="仿宋" w:cs="仿宋"/>
                <w:sz w:val="21"/>
                <w:szCs w:val="21"/>
              </w:rPr>
              <w:t>1</w:t>
            </w:r>
            <w:r>
              <w:rPr>
                <w:rFonts w:hint="eastAsia" w:ascii="Times New Roman" w:hAnsi="Times New Roman" w:eastAsia="仿宋" w:cs="仿宋"/>
                <w:sz w:val="21"/>
                <w:szCs w:val="21"/>
                <w:lang w:val="en-US" w:eastAsia="zh-CN"/>
              </w:rPr>
              <w:t>.</w:t>
            </w:r>
            <w:r>
              <w:rPr>
                <w:rFonts w:hint="eastAsia" w:ascii="Times New Roman" w:hAnsi="Times New Roman" w:eastAsia="仿宋" w:cs="仿宋"/>
                <w:sz w:val="21"/>
                <w:szCs w:val="21"/>
              </w:rPr>
              <w:t>Reverse</w:t>
            </w:r>
          </w:p>
          <w:p w14:paraId="24AF5416">
            <w:pPr>
              <w:keepNext w:val="0"/>
              <w:keepLines w:val="0"/>
              <w:pageBreakBefore w:val="0"/>
              <w:widowControl/>
              <w:kinsoku w:val="0"/>
              <w:wordWrap/>
              <w:overflowPunct/>
              <w:topLinePunct w:val="0"/>
              <w:autoSpaceDE w:val="0"/>
              <w:autoSpaceDN w:val="0"/>
              <w:bidi w:val="0"/>
              <w:adjustRightInd w:val="0"/>
              <w:snapToGrid w:val="0"/>
              <w:spacing w:line="300" w:lineRule="exact"/>
              <w:ind w:left="0"/>
              <w:jc w:val="left"/>
              <w:textAlignment w:val="baseline"/>
              <w:rPr>
                <w:rFonts w:hint="eastAsia" w:ascii="Times New Roman" w:hAnsi="Times New Roman" w:eastAsia="仿宋" w:cs="仿宋"/>
                <w:sz w:val="21"/>
                <w:szCs w:val="21"/>
                <w:highlight w:val="none"/>
              </w:rPr>
            </w:pPr>
            <w:r>
              <w:rPr>
                <w:rFonts w:hint="eastAsia" w:ascii="Times New Roman" w:hAnsi="Times New Roman" w:eastAsia="仿宋" w:cs="仿宋"/>
                <w:sz w:val="21"/>
                <w:szCs w:val="21"/>
              </w:rPr>
              <w:t>题目</w:t>
            </w:r>
            <w:r>
              <w:rPr>
                <w:rFonts w:hint="eastAsia" w:ascii="Times New Roman" w:hAnsi="Times New Roman" w:eastAsia="仿宋" w:cs="仿宋"/>
                <w:sz w:val="21"/>
                <w:szCs w:val="21"/>
                <w:highlight w:val="none"/>
              </w:rPr>
              <w:t>涉及软件逆向、破解技术等，要求有较强的反汇编、反编译功底。主要考查参赛选手的逆向分析能力。</w:t>
            </w:r>
          </w:p>
          <w:p w14:paraId="1B6C8561">
            <w:pPr>
              <w:keepNext w:val="0"/>
              <w:keepLines w:val="0"/>
              <w:pageBreakBefore w:val="0"/>
              <w:widowControl/>
              <w:kinsoku w:val="0"/>
              <w:wordWrap/>
              <w:overflowPunct/>
              <w:topLinePunct w:val="0"/>
              <w:autoSpaceDE w:val="0"/>
              <w:autoSpaceDN w:val="0"/>
              <w:bidi w:val="0"/>
              <w:adjustRightInd w:val="0"/>
              <w:snapToGrid w:val="0"/>
              <w:spacing w:line="300" w:lineRule="exact"/>
              <w:ind w:left="0"/>
              <w:jc w:val="left"/>
              <w:textAlignment w:val="baseline"/>
              <w:rPr>
                <w:rFonts w:hint="eastAsia" w:ascii="Times New Roman" w:hAnsi="Times New Roman" w:eastAsia="仿宋" w:cs="仿宋"/>
                <w:sz w:val="21"/>
                <w:szCs w:val="21"/>
                <w:highlight w:val="none"/>
              </w:rPr>
            </w:pPr>
            <w:r>
              <w:rPr>
                <w:rFonts w:hint="eastAsia" w:ascii="Times New Roman" w:hAnsi="Times New Roman" w:eastAsia="仿宋" w:cs="仿宋"/>
                <w:sz w:val="21"/>
                <w:szCs w:val="21"/>
                <w:highlight w:val="none"/>
              </w:rPr>
              <w:t>2</w:t>
            </w:r>
            <w:r>
              <w:rPr>
                <w:rFonts w:hint="eastAsia" w:ascii="Times New Roman" w:hAnsi="Times New Roman" w:eastAsia="仿宋" w:cs="仿宋"/>
                <w:sz w:val="21"/>
                <w:szCs w:val="21"/>
                <w:highlight w:val="none"/>
                <w:lang w:val="en-US" w:eastAsia="zh-CN"/>
              </w:rPr>
              <w:t>.</w:t>
            </w:r>
            <w:r>
              <w:rPr>
                <w:rFonts w:hint="eastAsia" w:ascii="Times New Roman" w:hAnsi="Times New Roman" w:eastAsia="仿宋" w:cs="仿宋"/>
                <w:sz w:val="21"/>
                <w:szCs w:val="21"/>
                <w:highlight w:val="none"/>
              </w:rPr>
              <w:t>Pwn</w:t>
            </w:r>
          </w:p>
          <w:p w14:paraId="70C464BE">
            <w:pPr>
              <w:keepNext w:val="0"/>
              <w:keepLines w:val="0"/>
              <w:pageBreakBefore w:val="0"/>
              <w:widowControl/>
              <w:kinsoku w:val="0"/>
              <w:wordWrap/>
              <w:overflowPunct/>
              <w:topLinePunct w:val="0"/>
              <w:autoSpaceDE w:val="0"/>
              <w:autoSpaceDN w:val="0"/>
              <w:bidi w:val="0"/>
              <w:adjustRightInd w:val="0"/>
              <w:snapToGrid w:val="0"/>
              <w:spacing w:line="300" w:lineRule="exact"/>
              <w:ind w:left="0"/>
              <w:jc w:val="left"/>
              <w:textAlignment w:val="baseline"/>
              <w:rPr>
                <w:rFonts w:hint="eastAsia" w:ascii="Times New Roman" w:hAnsi="Times New Roman" w:eastAsia="仿宋" w:cs="仿宋"/>
                <w:sz w:val="21"/>
                <w:szCs w:val="21"/>
                <w:highlight w:val="none"/>
              </w:rPr>
            </w:pPr>
            <w:r>
              <w:rPr>
                <w:rFonts w:hint="eastAsia" w:ascii="Times New Roman" w:hAnsi="Times New Roman" w:eastAsia="仿宋" w:cs="仿宋"/>
                <w:sz w:val="21"/>
                <w:szCs w:val="21"/>
                <w:highlight w:val="none"/>
              </w:rPr>
              <w:t>在 CTF比赛中代表着溢出类的题目，其中常见类型溢出漏洞有整数溢出、栈溢出、堆溢出等。主要考查参赛选手对漏洞的利用能力。</w:t>
            </w:r>
          </w:p>
          <w:p w14:paraId="0C1F154C">
            <w:pPr>
              <w:keepNext w:val="0"/>
              <w:keepLines w:val="0"/>
              <w:pageBreakBefore w:val="0"/>
              <w:widowControl/>
              <w:kinsoku w:val="0"/>
              <w:wordWrap/>
              <w:overflowPunct/>
              <w:topLinePunct w:val="0"/>
              <w:autoSpaceDE w:val="0"/>
              <w:autoSpaceDN w:val="0"/>
              <w:bidi w:val="0"/>
              <w:adjustRightInd w:val="0"/>
              <w:snapToGrid w:val="0"/>
              <w:spacing w:line="300" w:lineRule="exact"/>
              <w:ind w:left="0"/>
              <w:jc w:val="left"/>
              <w:textAlignment w:val="baseline"/>
              <w:rPr>
                <w:rFonts w:hint="eastAsia" w:ascii="Times New Roman" w:hAnsi="Times New Roman" w:eastAsia="仿宋" w:cs="仿宋"/>
                <w:sz w:val="21"/>
                <w:szCs w:val="21"/>
                <w:highlight w:val="none"/>
              </w:rPr>
            </w:pPr>
            <w:r>
              <w:rPr>
                <w:rFonts w:hint="eastAsia" w:ascii="Times New Roman" w:hAnsi="Times New Roman" w:eastAsia="仿宋" w:cs="仿宋"/>
                <w:sz w:val="21"/>
                <w:szCs w:val="21"/>
                <w:highlight w:val="none"/>
              </w:rPr>
              <w:t>3</w:t>
            </w:r>
            <w:r>
              <w:rPr>
                <w:rFonts w:hint="eastAsia" w:ascii="Times New Roman" w:hAnsi="Times New Roman" w:eastAsia="仿宋" w:cs="仿宋"/>
                <w:sz w:val="21"/>
                <w:szCs w:val="21"/>
                <w:highlight w:val="none"/>
                <w:lang w:val="en-US" w:eastAsia="zh-CN"/>
              </w:rPr>
              <w:t>.</w:t>
            </w:r>
            <w:r>
              <w:rPr>
                <w:rFonts w:hint="eastAsia" w:ascii="Times New Roman" w:hAnsi="Times New Roman" w:eastAsia="仿宋" w:cs="仿宋"/>
                <w:sz w:val="21"/>
                <w:szCs w:val="21"/>
                <w:highlight w:val="none"/>
              </w:rPr>
              <w:t>Web</w:t>
            </w:r>
          </w:p>
          <w:p w14:paraId="496713C8">
            <w:pPr>
              <w:keepNext w:val="0"/>
              <w:keepLines w:val="0"/>
              <w:pageBreakBefore w:val="0"/>
              <w:widowControl/>
              <w:kinsoku w:val="0"/>
              <w:wordWrap/>
              <w:overflowPunct/>
              <w:topLinePunct w:val="0"/>
              <w:autoSpaceDE w:val="0"/>
              <w:autoSpaceDN w:val="0"/>
              <w:bidi w:val="0"/>
              <w:adjustRightInd w:val="0"/>
              <w:snapToGrid w:val="0"/>
              <w:spacing w:line="300" w:lineRule="exact"/>
              <w:ind w:left="0"/>
              <w:jc w:val="left"/>
              <w:textAlignment w:val="baseline"/>
              <w:rPr>
                <w:rFonts w:hint="eastAsia" w:ascii="Times New Roman" w:hAnsi="Times New Roman" w:eastAsia="仿宋" w:cs="仿宋"/>
                <w:sz w:val="21"/>
                <w:szCs w:val="21"/>
              </w:rPr>
            </w:pPr>
            <w:r>
              <w:rPr>
                <w:rFonts w:hint="eastAsia" w:ascii="Times New Roman" w:hAnsi="Times New Roman" w:eastAsia="仿宋" w:cs="仿宋"/>
                <w:sz w:val="21"/>
                <w:szCs w:val="21"/>
                <w:highlight w:val="none"/>
              </w:rPr>
              <w:t>Web是CTF的主要题型，题目涉及</w:t>
            </w:r>
            <w:r>
              <w:rPr>
                <w:rFonts w:hint="eastAsia" w:ascii="Times New Roman" w:hAnsi="Times New Roman" w:eastAsia="仿宋" w:cs="仿宋"/>
                <w:sz w:val="21"/>
                <w:szCs w:val="21"/>
              </w:rPr>
              <w:t>许多常见的Web漏洞，如XSS、文件包含、代码执行、上传漏洞、SQL注入等。也有一些简单的关于网络基础知识的考察，如返回包、TCP/IP、数据包内容和构造。</w:t>
            </w:r>
          </w:p>
          <w:p w14:paraId="0FF33E76">
            <w:pPr>
              <w:keepNext w:val="0"/>
              <w:keepLines w:val="0"/>
              <w:pageBreakBefore w:val="0"/>
              <w:widowControl/>
              <w:kinsoku w:val="0"/>
              <w:wordWrap/>
              <w:overflowPunct/>
              <w:topLinePunct w:val="0"/>
              <w:autoSpaceDE w:val="0"/>
              <w:autoSpaceDN w:val="0"/>
              <w:bidi w:val="0"/>
              <w:adjustRightInd w:val="0"/>
              <w:snapToGrid w:val="0"/>
              <w:spacing w:line="300" w:lineRule="exact"/>
              <w:ind w:left="0"/>
              <w:jc w:val="left"/>
              <w:textAlignment w:val="baseline"/>
              <w:rPr>
                <w:rFonts w:hint="eastAsia" w:ascii="Times New Roman" w:hAnsi="Times New Roman" w:eastAsia="仿宋" w:cs="仿宋"/>
                <w:sz w:val="21"/>
                <w:szCs w:val="21"/>
              </w:rPr>
            </w:pPr>
            <w:r>
              <w:rPr>
                <w:rFonts w:hint="eastAsia" w:ascii="Times New Roman" w:hAnsi="Times New Roman" w:eastAsia="仿宋" w:cs="仿宋"/>
                <w:sz w:val="21"/>
                <w:szCs w:val="21"/>
              </w:rPr>
              <w:t>4</w:t>
            </w:r>
            <w:r>
              <w:rPr>
                <w:rFonts w:hint="eastAsia" w:ascii="Times New Roman" w:hAnsi="Times New Roman" w:eastAsia="仿宋" w:cs="仿宋"/>
                <w:sz w:val="21"/>
                <w:szCs w:val="21"/>
                <w:lang w:val="en-US" w:eastAsia="zh-CN"/>
              </w:rPr>
              <w:t>.</w:t>
            </w:r>
            <w:r>
              <w:rPr>
                <w:rFonts w:hint="eastAsia" w:ascii="Times New Roman" w:hAnsi="Times New Roman" w:eastAsia="仿宋" w:cs="仿宋"/>
                <w:sz w:val="21"/>
                <w:szCs w:val="21"/>
              </w:rPr>
              <w:t>Crypto</w:t>
            </w:r>
          </w:p>
          <w:p w14:paraId="6FF21DAF">
            <w:pPr>
              <w:keepNext w:val="0"/>
              <w:keepLines w:val="0"/>
              <w:pageBreakBefore w:val="0"/>
              <w:widowControl/>
              <w:kinsoku w:val="0"/>
              <w:wordWrap/>
              <w:overflowPunct/>
              <w:topLinePunct w:val="0"/>
              <w:autoSpaceDE w:val="0"/>
              <w:autoSpaceDN w:val="0"/>
              <w:bidi w:val="0"/>
              <w:adjustRightInd w:val="0"/>
              <w:snapToGrid w:val="0"/>
              <w:spacing w:line="300" w:lineRule="exact"/>
              <w:ind w:left="0"/>
              <w:jc w:val="left"/>
              <w:textAlignment w:val="baseline"/>
              <w:rPr>
                <w:rFonts w:hint="eastAsia" w:ascii="Times New Roman" w:hAnsi="Times New Roman" w:eastAsia="仿宋" w:cs="仿宋"/>
                <w:sz w:val="21"/>
                <w:szCs w:val="21"/>
              </w:rPr>
            </w:pPr>
            <w:r>
              <w:rPr>
                <w:rFonts w:hint="eastAsia" w:ascii="Times New Roman" w:hAnsi="Times New Roman" w:eastAsia="仿宋" w:cs="仿宋"/>
                <w:sz w:val="21"/>
                <w:szCs w:val="21"/>
              </w:rPr>
              <w:t>题目考察各种加解密技术，包括古典加密技术、现代加密技术甚至出题者自创加密技术，以及一些常见编码解码，主要考查参赛选手密码学相关知识点。通常也会和其他题目相结合。</w:t>
            </w:r>
          </w:p>
          <w:p w14:paraId="7ED369DA">
            <w:pPr>
              <w:keepNext w:val="0"/>
              <w:keepLines w:val="0"/>
              <w:pageBreakBefore w:val="0"/>
              <w:widowControl/>
              <w:kinsoku w:val="0"/>
              <w:wordWrap/>
              <w:overflowPunct/>
              <w:topLinePunct w:val="0"/>
              <w:autoSpaceDE w:val="0"/>
              <w:autoSpaceDN w:val="0"/>
              <w:bidi w:val="0"/>
              <w:adjustRightInd w:val="0"/>
              <w:snapToGrid w:val="0"/>
              <w:spacing w:line="300" w:lineRule="exact"/>
              <w:ind w:left="0"/>
              <w:jc w:val="left"/>
              <w:textAlignment w:val="baseline"/>
              <w:rPr>
                <w:rFonts w:hint="eastAsia" w:ascii="Times New Roman" w:hAnsi="Times New Roman" w:eastAsia="仿宋" w:cs="仿宋"/>
                <w:sz w:val="21"/>
                <w:szCs w:val="21"/>
              </w:rPr>
            </w:pPr>
            <w:r>
              <w:rPr>
                <w:rFonts w:hint="eastAsia" w:ascii="Times New Roman" w:hAnsi="Times New Roman" w:eastAsia="仿宋" w:cs="仿宋"/>
                <w:sz w:val="21"/>
                <w:szCs w:val="21"/>
              </w:rPr>
              <w:t>5</w:t>
            </w:r>
            <w:r>
              <w:rPr>
                <w:rFonts w:hint="eastAsia" w:ascii="Times New Roman" w:hAnsi="Times New Roman" w:eastAsia="仿宋" w:cs="仿宋"/>
                <w:sz w:val="21"/>
                <w:szCs w:val="21"/>
                <w:lang w:val="en-US" w:eastAsia="zh-CN"/>
              </w:rPr>
              <w:t>.</w:t>
            </w:r>
            <w:r>
              <w:rPr>
                <w:rFonts w:hint="eastAsia" w:ascii="Times New Roman" w:hAnsi="Times New Roman" w:eastAsia="仿宋" w:cs="仿宋"/>
                <w:sz w:val="21"/>
                <w:szCs w:val="21"/>
              </w:rPr>
              <w:t>Misc</w:t>
            </w:r>
          </w:p>
          <w:p w14:paraId="376B73AB">
            <w:pPr>
              <w:keepNext w:val="0"/>
              <w:keepLines w:val="0"/>
              <w:pageBreakBefore w:val="0"/>
              <w:widowControl/>
              <w:kinsoku w:val="0"/>
              <w:wordWrap/>
              <w:overflowPunct/>
              <w:topLinePunct w:val="0"/>
              <w:autoSpaceDE w:val="0"/>
              <w:autoSpaceDN w:val="0"/>
              <w:bidi w:val="0"/>
              <w:adjustRightInd w:val="0"/>
              <w:snapToGrid w:val="0"/>
              <w:spacing w:line="300" w:lineRule="exact"/>
              <w:ind w:left="0"/>
              <w:jc w:val="left"/>
              <w:textAlignment w:val="baseline"/>
              <w:rPr>
                <w:rFonts w:hint="eastAsia" w:ascii="Times New Roman" w:hAnsi="Times New Roman" w:eastAsia="仿宋" w:cs="仿宋"/>
                <w:sz w:val="21"/>
                <w:szCs w:val="21"/>
              </w:rPr>
            </w:pPr>
            <w:r>
              <w:rPr>
                <w:rFonts w:hint="eastAsia" w:ascii="Times New Roman" w:hAnsi="Times New Roman" w:eastAsia="仿宋" w:cs="仿宋"/>
                <w:sz w:val="21"/>
                <w:szCs w:val="21"/>
              </w:rPr>
              <w:t>Misc 即安全杂项，题目涉及隐写术、流量分析、电子取证、人肉搜索、数据分析、大数据统计等，覆盖面比较广，主要考查参赛选手的各种基础综合知识。</w:t>
            </w:r>
          </w:p>
          <w:p w14:paraId="72200B34">
            <w:pPr>
              <w:keepNext w:val="0"/>
              <w:keepLines w:val="0"/>
              <w:pageBreakBefore w:val="0"/>
              <w:widowControl/>
              <w:kinsoku w:val="0"/>
              <w:wordWrap/>
              <w:overflowPunct/>
              <w:topLinePunct w:val="0"/>
              <w:autoSpaceDE w:val="0"/>
              <w:autoSpaceDN w:val="0"/>
              <w:bidi w:val="0"/>
              <w:adjustRightInd w:val="0"/>
              <w:snapToGrid w:val="0"/>
              <w:spacing w:line="300" w:lineRule="exact"/>
              <w:ind w:left="0"/>
              <w:jc w:val="left"/>
              <w:textAlignment w:val="baseline"/>
              <w:rPr>
                <w:rFonts w:hint="eastAsia" w:ascii="Times New Roman" w:hAnsi="Times New Roman" w:eastAsia="仿宋" w:cs="仿宋"/>
                <w:sz w:val="21"/>
                <w:szCs w:val="21"/>
              </w:rPr>
            </w:pPr>
            <w:r>
              <w:rPr>
                <w:rFonts w:hint="eastAsia" w:ascii="Times New Roman" w:hAnsi="Times New Roman" w:eastAsia="仿宋" w:cs="仿宋"/>
                <w:sz w:val="21"/>
                <w:szCs w:val="21"/>
              </w:rPr>
              <w:t>所需知识：常见隐写术工具、Wireshark 等流量审查工具、编码知识</w:t>
            </w:r>
          </w:p>
          <w:p w14:paraId="47C1D79F">
            <w:pPr>
              <w:keepNext w:val="0"/>
              <w:keepLines w:val="0"/>
              <w:pageBreakBefore w:val="0"/>
              <w:widowControl/>
              <w:kinsoku w:val="0"/>
              <w:wordWrap/>
              <w:overflowPunct/>
              <w:topLinePunct w:val="0"/>
              <w:autoSpaceDE w:val="0"/>
              <w:autoSpaceDN w:val="0"/>
              <w:bidi w:val="0"/>
              <w:adjustRightInd w:val="0"/>
              <w:snapToGrid w:val="0"/>
              <w:spacing w:line="300" w:lineRule="exact"/>
              <w:ind w:left="0"/>
              <w:jc w:val="left"/>
              <w:textAlignment w:val="baseline"/>
              <w:rPr>
                <w:rFonts w:hint="eastAsia" w:ascii="Times New Roman" w:hAnsi="Times New Roman" w:eastAsia="仿宋" w:cs="仿宋"/>
                <w:sz w:val="21"/>
                <w:szCs w:val="21"/>
              </w:rPr>
            </w:pPr>
            <w:r>
              <w:rPr>
                <w:rFonts w:hint="eastAsia" w:ascii="Times New Roman" w:hAnsi="Times New Roman" w:eastAsia="仿宋" w:cs="仿宋"/>
                <w:sz w:val="21"/>
                <w:szCs w:val="21"/>
              </w:rPr>
              <w:t>6</w:t>
            </w:r>
            <w:r>
              <w:rPr>
                <w:rFonts w:hint="eastAsia" w:ascii="Times New Roman" w:hAnsi="Times New Roman" w:eastAsia="仿宋" w:cs="仿宋"/>
                <w:sz w:val="21"/>
                <w:szCs w:val="21"/>
                <w:lang w:val="en-US" w:eastAsia="zh-CN"/>
              </w:rPr>
              <w:t>.</w:t>
            </w:r>
            <w:r>
              <w:rPr>
                <w:rFonts w:hint="eastAsia" w:ascii="Times New Roman" w:hAnsi="Times New Roman" w:eastAsia="仿宋" w:cs="仿宋"/>
                <w:sz w:val="21"/>
                <w:szCs w:val="21"/>
              </w:rPr>
              <w:t>Mobile</w:t>
            </w:r>
          </w:p>
          <w:p w14:paraId="4368AE26">
            <w:pPr>
              <w:keepNext w:val="0"/>
              <w:keepLines w:val="0"/>
              <w:pageBreakBefore w:val="0"/>
              <w:widowControl/>
              <w:kinsoku w:val="0"/>
              <w:wordWrap/>
              <w:overflowPunct/>
              <w:topLinePunct w:val="0"/>
              <w:autoSpaceDE w:val="0"/>
              <w:autoSpaceDN w:val="0"/>
              <w:bidi w:val="0"/>
              <w:adjustRightInd w:val="0"/>
              <w:snapToGrid w:val="0"/>
              <w:spacing w:line="300" w:lineRule="exact"/>
              <w:ind w:left="0"/>
              <w:jc w:val="left"/>
              <w:textAlignment w:val="baseline"/>
              <w:rPr>
                <w:rFonts w:hint="eastAsia" w:ascii="Times New Roman" w:hAnsi="Times New Roman" w:eastAsia="仿宋" w:cs="仿宋"/>
                <w:sz w:val="21"/>
                <w:szCs w:val="21"/>
              </w:rPr>
            </w:pPr>
            <w:r>
              <w:rPr>
                <w:rFonts w:hint="eastAsia" w:ascii="Times New Roman" w:hAnsi="Times New Roman" w:eastAsia="仿宋" w:cs="仿宋"/>
                <w:sz w:val="21"/>
                <w:szCs w:val="21"/>
              </w:rPr>
              <w:t>主要分为 Android 和 iOS 两个平台，以 Android 逆向为主，破解 APK 并提交正确答案。</w:t>
            </w:r>
          </w:p>
        </w:tc>
      </w:tr>
      <w:tr w14:paraId="15879F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2" w:hRule="atLeast"/>
          <w:jc w:val="center"/>
        </w:trPr>
        <w:tc>
          <w:tcPr>
            <w:tcW w:w="697" w:type="dxa"/>
            <w:noWrap w:val="0"/>
            <w:vAlign w:val="center"/>
          </w:tcPr>
          <w:p w14:paraId="1C173AB9">
            <w:pPr>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hint="default" w:ascii="Times New Roman" w:hAnsi="Times New Roman" w:eastAsia="仿宋" w:cs="仿宋"/>
                <w:sz w:val="24"/>
                <w:szCs w:val="24"/>
                <w:lang w:val="en-US" w:eastAsia="zh-CN"/>
              </w:rPr>
            </w:pPr>
            <w:r>
              <w:rPr>
                <w:rFonts w:hint="eastAsia" w:ascii="Times New Roman" w:hAnsi="Times New Roman" w:eastAsia="仿宋" w:cs="仿宋"/>
                <w:sz w:val="24"/>
                <w:szCs w:val="24"/>
                <w:lang w:val="en-US" w:eastAsia="zh-CN"/>
              </w:rPr>
              <w:t>14</w:t>
            </w:r>
          </w:p>
        </w:tc>
        <w:tc>
          <w:tcPr>
            <w:tcW w:w="1508" w:type="dxa"/>
            <w:noWrap w:val="0"/>
            <w:vAlign w:val="center"/>
          </w:tcPr>
          <w:p w14:paraId="08A46989">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jc w:val="center"/>
              <w:textAlignment w:val="baseline"/>
              <w:rPr>
                <w:rFonts w:hint="eastAsia" w:ascii="Times New Roman" w:hAnsi="Times New Roman" w:eastAsia="仿宋" w:cs="仿宋"/>
                <w:sz w:val="24"/>
                <w:szCs w:val="24"/>
              </w:rPr>
            </w:pPr>
            <w:r>
              <w:rPr>
                <w:rFonts w:hint="eastAsia" w:ascii="Times New Roman" w:hAnsi="Times New Roman" w:eastAsia="仿宋" w:cs="仿宋"/>
                <w:sz w:val="24"/>
                <w:szCs w:val="24"/>
              </w:rPr>
              <w:t>汽车潮改</w:t>
            </w:r>
          </w:p>
        </w:tc>
        <w:tc>
          <w:tcPr>
            <w:tcW w:w="6662" w:type="dxa"/>
            <w:noWrap w:val="0"/>
            <w:vAlign w:val="center"/>
          </w:tcPr>
          <w:p w14:paraId="6865A19F">
            <w:pPr>
              <w:keepNext w:val="0"/>
              <w:keepLines w:val="0"/>
              <w:pageBreakBefore w:val="0"/>
              <w:widowControl/>
              <w:kinsoku w:val="0"/>
              <w:wordWrap/>
              <w:overflowPunct/>
              <w:topLinePunct w:val="0"/>
              <w:autoSpaceDE w:val="0"/>
              <w:autoSpaceDN w:val="0"/>
              <w:bidi w:val="0"/>
              <w:adjustRightInd w:val="0"/>
              <w:snapToGrid w:val="0"/>
              <w:spacing w:line="300" w:lineRule="exact"/>
              <w:ind w:left="0"/>
              <w:jc w:val="left"/>
              <w:textAlignment w:val="baseline"/>
              <w:rPr>
                <w:rFonts w:hint="eastAsia" w:ascii="Times New Roman" w:hAnsi="Times New Roman" w:eastAsia="仿宋" w:cs="仿宋"/>
                <w:sz w:val="21"/>
                <w:szCs w:val="21"/>
              </w:rPr>
            </w:pPr>
            <w:r>
              <w:rPr>
                <w:rFonts w:hint="eastAsia" w:ascii="Times New Roman" w:hAnsi="Times New Roman" w:eastAsia="仿宋" w:cs="仿宋"/>
                <w:sz w:val="21"/>
                <w:szCs w:val="21"/>
              </w:rPr>
              <w:t>汽车“潮改”竞赛项目以对应的《汽车维修工国家职业技能标准（汽车美容装潢工）》中级（四级）的相关要求为命题基础，适当增加相关新知识、新技术、新设备、新技能等内容。以汽车内外翻新与养护、汽车玻璃贴膜技能为竞赛基本内容，重点比拼选手的色膜设计和裁膜、覆膜操作水平，其中，色膜设计占30%，裁膜、覆膜操作占70%。</w:t>
            </w:r>
          </w:p>
        </w:tc>
      </w:tr>
      <w:tr w14:paraId="167D50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2" w:hRule="atLeast"/>
          <w:jc w:val="center"/>
        </w:trPr>
        <w:tc>
          <w:tcPr>
            <w:tcW w:w="697" w:type="dxa"/>
            <w:noWrap w:val="0"/>
            <w:vAlign w:val="center"/>
          </w:tcPr>
          <w:p w14:paraId="44E9BB17">
            <w:pPr>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hint="default" w:ascii="Times New Roman" w:hAnsi="Times New Roman" w:eastAsia="仿宋" w:cs="仿宋"/>
                <w:sz w:val="24"/>
                <w:szCs w:val="24"/>
                <w:lang w:val="en-US" w:eastAsia="zh-CN"/>
              </w:rPr>
            </w:pPr>
            <w:r>
              <w:rPr>
                <w:rFonts w:hint="eastAsia" w:ascii="Times New Roman" w:hAnsi="Times New Roman" w:eastAsia="仿宋" w:cs="仿宋"/>
                <w:sz w:val="24"/>
                <w:szCs w:val="24"/>
                <w:lang w:val="en-US" w:eastAsia="zh-CN"/>
              </w:rPr>
              <w:t>15</w:t>
            </w:r>
          </w:p>
        </w:tc>
        <w:tc>
          <w:tcPr>
            <w:tcW w:w="1508" w:type="dxa"/>
            <w:noWrap w:val="0"/>
            <w:vAlign w:val="center"/>
          </w:tcPr>
          <w:p w14:paraId="27CED285">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jc w:val="center"/>
              <w:textAlignment w:val="baseline"/>
              <w:rPr>
                <w:rFonts w:hint="eastAsia" w:ascii="Times New Roman" w:hAnsi="Times New Roman" w:eastAsia="仿宋" w:cs="仿宋"/>
                <w:sz w:val="24"/>
                <w:szCs w:val="24"/>
              </w:rPr>
            </w:pPr>
            <w:r>
              <w:rPr>
                <w:rFonts w:hint="eastAsia" w:ascii="Times New Roman" w:hAnsi="Times New Roman" w:eastAsia="仿宋" w:cs="仿宋"/>
                <w:sz w:val="24"/>
                <w:szCs w:val="24"/>
              </w:rPr>
              <w:t>直播营销</w:t>
            </w:r>
          </w:p>
        </w:tc>
        <w:tc>
          <w:tcPr>
            <w:tcW w:w="6662" w:type="dxa"/>
            <w:noWrap w:val="0"/>
            <w:vAlign w:val="center"/>
          </w:tcPr>
          <w:p w14:paraId="2825644F">
            <w:pPr>
              <w:keepNext w:val="0"/>
              <w:keepLines w:val="0"/>
              <w:pageBreakBefore w:val="0"/>
              <w:widowControl/>
              <w:kinsoku w:val="0"/>
              <w:wordWrap/>
              <w:overflowPunct/>
              <w:topLinePunct w:val="0"/>
              <w:autoSpaceDE w:val="0"/>
              <w:autoSpaceDN w:val="0"/>
              <w:bidi w:val="0"/>
              <w:adjustRightInd w:val="0"/>
              <w:snapToGrid w:val="0"/>
              <w:spacing w:line="300" w:lineRule="exact"/>
              <w:ind w:left="0"/>
              <w:jc w:val="left"/>
              <w:textAlignment w:val="baseline"/>
              <w:rPr>
                <w:rFonts w:hint="eastAsia" w:ascii="Times New Roman" w:hAnsi="Times New Roman" w:eastAsia="仿宋" w:cs="仿宋"/>
                <w:sz w:val="21"/>
                <w:szCs w:val="21"/>
              </w:rPr>
            </w:pPr>
            <w:r>
              <w:rPr>
                <w:rFonts w:hint="eastAsia" w:ascii="Times New Roman" w:hAnsi="Times New Roman" w:eastAsia="仿宋" w:cs="仿宋"/>
                <w:sz w:val="21"/>
                <w:szCs w:val="21"/>
              </w:rPr>
              <w:t>直播营销是比拼选手对商品进行产品直播展示、销售的能力。比赛共有三个模块：</w:t>
            </w:r>
          </w:p>
          <w:p w14:paraId="3F59F54A">
            <w:pPr>
              <w:keepNext w:val="0"/>
              <w:keepLines w:val="0"/>
              <w:pageBreakBefore w:val="0"/>
              <w:widowControl/>
              <w:kinsoku w:val="0"/>
              <w:wordWrap/>
              <w:overflowPunct/>
              <w:topLinePunct w:val="0"/>
              <w:autoSpaceDE w:val="0"/>
              <w:autoSpaceDN w:val="0"/>
              <w:bidi w:val="0"/>
              <w:adjustRightInd w:val="0"/>
              <w:snapToGrid w:val="0"/>
              <w:spacing w:line="300" w:lineRule="exact"/>
              <w:ind w:left="0"/>
              <w:jc w:val="left"/>
              <w:textAlignment w:val="baseline"/>
              <w:rPr>
                <w:rFonts w:hint="eastAsia" w:ascii="Times New Roman" w:hAnsi="Times New Roman" w:eastAsia="仿宋" w:cs="仿宋"/>
                <w:sz w:val="21"/>
                <w:szCs w:val="21"/>
              </w:rPr>
            </w:pPr>
            <w:r>
              <w:rPr>
                <w:rFonts w:hint="eastAsia" w:ascii="Times New Roman" w:hAnsi="Times New Roman" w:eastAsia="仿宋" w:cs="仿宋"/>
                <w:sz w:val="21"/>
                <w:szCs w:val="21"/>
              </w:rPr>
              <w:t xml:space="preserve">1.选手需识别主流直播平台的管理规则，开通直播账号，掌握直播间页面功能，根据规范和标准选品，熟悉产品信息，并搭建合适的直播场景，保持直播场地安全、卫生、整洁。 </w:t>
            </w:r>
          </w:p>
          <w:p w14:paraId="668E2A31">
            <w:pPr>
              <w:keepNext w:val="0"/>
              <w:keepLines w:val="0"/>
              <w:pageBreakBefore w:val="0"/>
              <w:widowControl/>
              <w:kinsoku w:val="0"/>
              <w:wordWrap/>
              <w:overflowPunct/>
              <w:topLinePunct w:val="0"/>
              <w:autoSpaceDE w:val="0"/>
              <w:autoSpaceDN w:val="0"/>
              <w:bidi w:val="0"/>
              <w:adjustRightInd w:val="0"/>
              <w:snapToGrid w:val="0"/>
              <w:spacing w:line="300" w:lineRule="exact"/>
              <w:ind w:left="0"/>
              <w:jc w:val="left"/>
              <w:textAlignment w:val="baseline"/>
              <w:rPr>
                <w:rFonts w:hint="eastAsia" w:ascii="Times New Roman" w:hAnsi="Times New Roman" w:eastAsia="仿宋" w:cs="仿宋"/>
                <w:sz w:val="21"/>
                <w:szCs w:val="21"/>
              </w:rPr>
            </w:pPr>
            <w:r>
              <w:rPr>
                <w:rFonts w:hint="eastAsia" w:ascii="Times New Roman" w:hAnsi="Times New Roman" w:eastAsia="仿宋" w:cs="仿宋"/>
                <w:sz w:val="21"/>
                <w:szCs w:val="21"/>
              </w:rPr>
              <w:t>2.使用直播设备，主动、热情问候客户，熟练运用各类媒体工具进行账号引流，对产品特性进行准确描述及多样性展示。</w:t>
            </w:r>
          </w:p>
          <w:p w14:paraId="48740395">
            <w:pPr>
              <w:keepNext w:val="0"/>
              <w:keepLines w:val="0"/>
              <w:pageBreakBefore w:val="0"/>
              <w:widowControl/>
              <w:kinsoku w:val="0"/>
              <w:wordWrap/>
              <w:overflowPunct/>
              <w:topLinePunct w:val="0"/>
              <w:autoSpaceDE w:val="0"/>
              <w:autoSpaceDN w:val="0"/>
              <w:bidi w:val="0"/>
              <w:adjustRightInd w:val="0"/>
              <w:snapToGrid w:val="0"/>
              <w:spacing w:line="300" w:lineRule="exact"/>
              <w:ind w:left="0"/>
              <w:jc w:val="left"/>
              <w:textAlignment w:val="baseline"/>
              <w:rPr>
                <w:rFonts w:hint="eastAsia" w:ascii="Times New Roman" w:hAnsi="Times New Roman" w:eastAsia="仿宋" w:cs="仿宋"/>
                <w:sz w:val="21"/>
                <w:szCs w:val="21"/>
              </w:rPr>
            </w:pPr>
            <w:r>
              <w:rPr>
                <w:rFonts w:hint="eastAsia" w:ascii="Times New Roman" w:hAnsi="Times New Roman" w:eastAsia="仿宋" w:cs="仿宋"/>
                <w:sz w:val="21"/>
                <w:szCs w:val="21"/>
              </w:rPr>
              <w:t>3.及时、正确处理平台订单，根据具体问题开展售后服务，与观众、粉丝开展互动交流，引导下单。并建立客户社群，提供增值服务</w:t>
            </w:r>
          </w:p>
        </w:tc>
      </w:tr>
      <w:tr w14:paraId="2C8A8F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2" w:hRule="atLeast"/>
          <w:jc w:val="center"/>
        </w:trPr>
        <w:tc>
          <w:tcPr>
            <w:tcW w:w="697" w:type="dxa"/>
            <w:noWrap w:val="0"/>
            <w:vAlign w:val="center"/>
          </w:tcPr>
          <w:p w14:paraId="26597196">
            <w:pPr>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hint="default" w:ascii="Times New Roman" w:hAnsi="Times New Roman" w:eastAsia="仿宋" w:cs="仿宋"/>
                <w:sz w:val="24"/>
                <w:szCs w:val="24"/>
                <w:lang w:val="en-US" w:eastAsia="zh-CN"/>
              </w:rPr>
            </w:pPr>
            <w:r>
              <w:rPr>
                <w:rFonts w:hint="eastAsia" w:ascii="Times New Roman" w:hAnsi="Times New Roman" w:eastAsia="仿宋" w:cs="仿宋"/>
                <w:sz w:val="24"/>
                <w:szCs w:val="24"/>
                <w:lang w:val="en-US" w:eastAsia="zh-CN"/>
              </w:rPr>
              <w:t>16</w:t>
            </w:r>
          </w:p>
        </w:tc>
        <w:tc>
          <w:tcPr>
            <w:tcW w:w="1508" w:type="dxa"/>
            <w:noWrap w:val="0"/>
            <w:vAlign w:val="center"/>
          </w:tcPr>
          <w:p w14:paraId="56A41F06">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jc w:val="center"/>
              <w:textAlignment w:val="baseline"/>
              <w:rPr>
                <w:rFonts w:hint="eastAsia" w:ascii="Times New Roman" w:hAnsi="Times New Roman" w:eastAsia="仿宋" w:cs="仿宋"/>
                <w:sz w:val="24"/>
                <w:szCs w:val="24"/>
              </w:rPr>
            </w:pPr>
            <w:r>
              <w:rPr>
                <w:rFonts w:hint="eastAsia" w:ascii="Times New Roman" w:hAnsi="Times New Roman" w:eastAsia="仿宋" w:cs="仿宋"/>
                <w:sz w:val="24"/>
                <w:szCs w:val="24"/>
              </w:rPr>
              <w:t>数据治理</w:t>
            </w:r>
          </w:p>
        </w:tc>
        <w:tc>
          <w:tcPr>
            <w:tcW w:w="6662" w:type="dxa"/>
            <w:noWrap w:val="0"/>
            <w:vAlign w:val="center"/>
          </w:tcPr>
          <w:p w14:paraId="53B24F54">
            <w:pPr>
              <w:keepNext w:val="0"/>
              <w:keepLines w:val="0"/>
              <w:pageBreakBefore w:val="0"/>
              <w:widowControl/>
              <w:kinsoku w:val="0"/>
              <w:wordWrap/>
              <w:overflowPunct/>
              <w:topLinePunct w:val="0"/>
              <w:autoSpaceDE w:val="0"/>
              <w:autoSpaceDN w:val="0"/>
              <w:bidi w:val="0"/>
              <w:adjustRightInd w:val="0"/>
              <w:snapToGrid w:val="0"/>
              <w:spacing w:line="300" w:lineRule="exact"/>
              <w:ind w:left="0"/>
              <w:jc w:val="left"/>
              <w:textAlignment w:val="baseline"/>
              <w:rPr>
                <w:rFonts w:hint="eastAsia" w:ascii="Times New Roman" w:hAnsi="Times New Roman" w:eastAsia="仿宋" w:cs="仿宋"/>
                <w:sz w:val="21"/>
                <w:szCs w:val="21"/>
              </w:rPr>
            </w:pPr>
            <w:r>
              <w:rPr>
                <w:rFonts w:hint="eastAsia" w:ascii="Times New Roman" w:hAnsi="Times New Roman" w:eastAsia="仿宋" w:cs="仿宋"/>
                <w:sz w:val="21"/>
                <w:szCs w:val="21"/>
              </w:rPr>
              <w:t>数据治理创新赛围绕政务数据场景应用分析和数据要素市场化改革两方面开展。</w:t>
            </w:r>
          </w:p>
          <w:p w14:paraId="010C6535">
            <w:pPr>
              <w:keepNext w:val="0"/>
              <w:keepLines w:val="0"/>
              <w:pageBreakBefore w:val="0"/>
              <w:widowControl/>
              <w:kinsoku w:val="0"/>
              <w:wordWrap/>
              <w:overflowPunct/>
              <w:topLinePunct w:val="0"/>
              <w:autoSpaceDE w:val="0"/>
              <w:autoSpaceDN w:val="0"/>
              <w:bidi w:val="0"/>
              <w:adjustRightInd w:val="0"/>
              <w:snapToGrid w:val="0"/>
              <w:spacing w:line="300" w:lineRule="exact"/>
              <w:ind w:left="0"/>
              <w:jc w:val="left"/>
              <w:textAlignment w:val="baseline"/>
              <w:rPr>
                <w:rFonts w:hint="eastAsia" w:ascii="Times New Roman" w:hAnsi="Times New Roman" w:eastAsia="仿宋" w:cs="仿宋"/>
                <w:sz w:val="21"/>
                <w:szCs w:val="21"/>
              </w:rPr>
            </w:pPr>
            <w:r>
              <w:rPr>
                <w:rFonts w:hint="eastAsia" w:ascii="Times New Roman" w:hAnsi="Times New Roman" w:eastAsia="仿宋" w:cs="仿宋"/>
                <w:sz w:val="21"/>
                <w:szCs w:val="21"/>
              </w:rPr>
              <w:t>1.政务数据场景应用部分选手需要在给出的样例场景中选择一个场景、分析选定场景的数据提供方和数据需求方的不同情况，梳理出场景所需数据并将数据在流转过程中的各种加工处理的过程描述清楚（注意：数据是分布在同一网络环境下的不同单位的，选手在梳理和制作数据治理关系图的时候需要描述清楚或者直观的体现出数据的来源、中间的加工治理逻辑以及最终生成场景所需数据的全流程）。</w:t>
            </w:r>
          </w:p>
          <w:p w14:paraId="3E822C4A">
            <w:pPr>
              <w:keepNext w:val="0"/>
              <w:keepLines w:val="0"/>
              <w:pageBreakBefore w:val="0"/>
              <w:widowControl/>
              <w:kinsoku w:val="0"/>
              <w:wordWrap/>
              <w:overflowPunct/>
              <w:topLinePunct w:val="0"/>
              <w:autoSpaceDE w:val="0"/>
              <w:autoSpaceDN w:val="0"/>
              <w:bidi w:val="0"/>
              <w:adjustRightInd w:val="0"/>
              <w:snapToGrid w:val="0"/>
              <w:spacing w:line="300" w:lineRule="exact"/>
              <w:ind w:left="0"/>
              <w:jc w:val="left"/>
              <w:textAlignment w:val="baseline"/>
              <w:rPr>
                <w:rFonts w:hint="eastAsia" w:ascii="Times New Roman" w:hAnsi="Times New Roman" w:eastAsia="仿宋" w:cs="仿宋"/>
                <w:sz w:val="21"/>
                <w:szCs w:val="21"/>
              </w:rPr>
            </w:pPr>
            <w:r>
              <w:rPr>
                <w:rFonts w:hint="eastAsia" w:ascii="Times New Roman" w:hAnsi="Times New Roman" w:eastAsia="仿宋" w:cs="仿宋"/>
                <w:sz w:val="21"/>
                <w:szCs w:val="21"/>
              </w:rPr>
              <w:t>2.数据要素流通部分选手需从政府数据与社会数据融合，助力产业发展、结合市场经济推动“数据变现”等为方向，自拟场景，分析场景的运转，梳理业务及所需数据，详细描述该场景下数据的各种加工处理过程（注意：数据是分布在不同网络环境下的不同单位的，选手在梳理和制作数据治理关系图的时候需要描述清楚或者直观的体现出数据的来源、中间的加工治理逻辑</w:t>
            </w:r>
            <w:bookmarkStart w:id="0" w:name="_GoBack"/>
            <w:bookmarkEnd w:id="0"/>
            <w:r>
              <w:rPr>
                <w:rFonts w:hint="eastAsia" w:ascii="Times New Roman" w:hAnsi="Times New Roman" w:eastAsia="仿宋" w:cs="仿宋"/>
                <w:sz w:val="21"/>
                <w:szCs w:val="21"/>
              </w:rPr>
              <w:t>以及最终生成场景所需数据的全流程）。</w:t>
            </w:r>
          </w:p>
          <w:p w14:paraId="4E398625">
            <w:pPr>
              <w:keepNext w:val="0"/>
              <w:keepLines w:val="0"/>
              <w:pageBreakBefore w:val="0"/>
              <w:widowControl/>
              <w:kinsoku w:val="0"/>
              <w:wordWrap/>
              <w:overflowPunct/>
              <w:topLinePunct w:val="0"/>
              <w:autoSpaceDE w:val="0"/>
              <w:autoSpaceDN w:val="0"/>
              <w:bidi w:val="0"/>
              <w:adjustRightInd w:val="0"/>
              <w:snapToGrid w:val="0"/>
              <w:spacing w:line="300" w:lineRule="exact"/>
              <w:ind w:left="0"/>
              <w:jc w:val="left"/>
              <w:textAlignment w:val="baseline"/>
              <w:rPr>
                <w:rFonts w:hint="eastAsia" w:ascii="Times New Roman" w:hAnsi="Times New Roman" w:eastAsia="仿宋" w:cs="仿宋"/>
                <w:sz w:val="21"/>
                <w:szCs w:val="21"/>
              </w:rPr>
            </w:pPr>
            <w:r>
              <w:rPr>
                <w:rFonts w:hint="eastAsia" w:ascii="Times New Roman" w:hAnsi="Times New Roman" w:eastAsia="仿宋" w:cs="仿宋"/>
                <w:sz w:val="21"/>
                <w:szCs w:val="21"/>
              </w:rPr>
              <w:t>数据治理创新赛由答题模板（由治理场景描述、业务流程图、数据治理关系图）、操作电脑一台组成。</w:t>
            </w:r>
          </w:p>
        </w:tc>
      </w:tr>
      <w:tr w14:paraId="4539DA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50" w:hRule="atLeast"/>
          <w:jc w:val="center"/>
        </w:trPr>
        <w:tc>
          <w:tcPr>
            <w:tcW w:w="697" w:type="dxa"/>
            <w:noWrap w:val="0"/>
            <w:vAlign w:val="center"/>
          </w:tcPr>
          <w:p w14:paraId="04ACC0F6">
            <w:pPr>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hint="default" w:ascii="Times New Roman" w:hAnsi="Times New Roman" w:eastAsia="仿宋" w:cs="仿宋"/>
                <w:sz w:val="24"/>
                <w:szCs w:val="24"/>
                <w:lang w:val="en-US" w:eastAsia="zh-CN"/>
              </w:rPr>
            </w:pPr>
            <w:r>
              <w:rPr>
                <w:rFonts w:hint="eastAsia" w:ascii="Times New Roman" w:hAnsi="Times New Roman" w:eastAsia="仿宋" w:cs="仿宋"/>
                <w:sz w:val="24"/>
                <w:szCs w:val="24"/>
                <w:lang w:val="en-US" w:eastAsia="zh-CN"/>
              </w:rPr>
              <w:t>17</w:t>
            </w:r>
          </w:p>
        </w:tc>
        <w:tc>
          <w:tcPr>
            <w:tcW w:w="1508" w:type="dxa"/>
            <w:noWrap w:val="0"/>
            <w:vAlign w:val="center"/>
          </w:tcPr>
          <w:p w14:paraId="1D778A4A">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jc w:val="center"/>
              <w:textAlignment w:val="baseline"/>
              <w:rPr>
                <w:rFonts w:hint="eastAsia" w:ascii="Times New Roman" w:hAnsi="Times New Roman" w:eastAsia="仿宋" w:cs="仿宋"/>
                <w:sz w:val="24"/>
                <w:szCs w:val="24"/>
              </w:rPr>
            </w:pPr>
            <w:r>
              <w:rPr>
                <w:rFonts w:hint="eastAsia" w:ascii="Times New Roman" w:hAnsi="Times New Roman" w:eastAsia="仿宋" w:cs="仿宋"/>
                <w:sz w:val="24"/>
                <w:szCs w:val="24"/>
              </w:rPr>
              <w:t>健康和社会</w:t>
            </w:r>
          </w:p>
          <w:p w14:paraId="4DA5D7F1">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jc w:val="center"/>
              <w:textAlignment w:val="baseline"/>
              <w:rPr>
                <w:rFonts w:hint="eastAsia" w:ascii="Times New Roman" w:hAnsi="Times New Roman" w:eastAsia="仿宋" w:cs="仿宋"/>
                <w:sz w:val="24"/>
                <w:szCs w:val="24"/>
              </w:rPr>
            </w:pPr>
            <w:r>
              <w:rPr>
                <w:rFonts w:hint="eastAsia" w:ascii="Times New Roman" w:hAnsi="Times New Roman" w:eastAsia="仿宋" w:cs="仿宋"/>
                <w:sz w:val="24"/>
                <w:szCs w:val="24"/>
              </w:rPr>
              <w:t>照护</w:t>
            </w:r>
          </w:p>
          <w:p w14:paraId="24EEE09E">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jc w:val="center"/>
              <w:textAlignment w:val="baseline"/>
              <w:rPr>
                <w:rFonts w:hint="eastAsia" w:ascii="Times New Roman" w:hAnsi="Times New Roman" w:eastAsia="仿宋" w:cs="仿宋"/>
                <w:sz w:val="24"/>
                <w:szCs w:val="24"/>
              </w:rPr>
            </w:pPr>
            <w:r>
              <w:rPr>
                <w:rFonts w:hint="eastAsia" w:ascii="Times New Roman" w:hAnsi="Times New Roman" w:eastAsia="仿宋" w:cs="仿宋"/>
                <w:sz w:val="24"/>
                <w:szCs w:val="24"/>
              </w:rPr>
              <w:t>（养老护理）</w:t>
            </w:r>
          </w:p>
        </w:tc>
        <w:tc>
          <w:tcPr>
            <w:tcW w:w="6662" w:type="dxa"/>
            <w:noWrap w:val="0"/>
            <w:vAlign w:val="center"/>
          </w:tcPr>
          <w:p w14:paraId="691155C9">
            <w:pPr>
              <w:keepNext w:val="0"/>
              <w:keepLines w:val="0"/>
              <w:pageBreakBefore w:val="0"/>
              <w:widowControl/>
              <w:kinsoku w:val="0"/>
              <w:wordWrap/>
              <w:overflowPunct/>
              <w:topLinePunct w:val="0"/>
              <w:autoSpaceDE w:val="0"/>
              <w:autoSpaceDN w:val="0"/>
              <w:bidi w:val="0"/>
              <w:adjustRightInd w:val="0"/>
              <w:snapToGrid w:val="0"/>
              <w:spacing w:line="300" w:lineRule="exact"/>
              <w:ind w:left="0"/>
              <w:jc w:val="left"/>
              <w:textAlignment w:val="baseline"/>
              <w:rPr>
                <w:rFonts w:hint="eastAsia" w:ascii="Times New Roman" w:hAnsi="Times New Roman" w:eastAsia="仿宋" w:cs="仿宋"/>
                <w:sz w:val="21"/>
                <w:szCs w:val="21"/>
              </w:rPr>
            </w:pPr>
            <w:r>
              <w:rPr>
                <w:rFonts w:hint="eastAsia" w:ascii="Times New Roman" w:hAnsi="Times New Roman" w:eastAsia="仿宋" w:cs="仿宋"/>
                <w:sz w:val="21"/>
                <w:szCs w:val="21"/>
              </w:rPr>
              <w:t>本赛项以服务老年人为中心,构建养老服务人员的核心技能、职业素养和人文关怀的职业胜任能力。本次竞赛场地营造老年人照护真实场景,向社会展示现代养老服务人员的专业能力、职业形象以及人性化、专业化服务与管理的职业水准,增强社会对养老服务行业及职业发展的认同。模块一：生活照料  模块二：基础护理 模块三康复护理</w:t>
            </w:r>
          </w:p>
        </w:tc>
      </w:tr>
      <w:tr w14:paraId="1EB7FF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8" w:hRule="atLeast"/>
          <w:jc w:val="center"/>
        </w:trPr>
        <w:tc>
          <w:tcPr>
            <w:tcW w:w="697" w:type="dxa"/>
            <w:noWrap w:val="0"/>
            <w:vAlign w:val="center"/>
          </w:tcPr>
          <w:p w14:paraId="07403116">
            <w:pPr>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hint="default" w:ascii="Times New Roman" w:hAnsi="Times New Roman" w:eastAsia="仿宋" w:cs="仿宋"/>
                <w:sz w:val="24"/>
                <w:szCs w:val="24"/>
                <w:lang w:val="en-US" w:eastAsia="zh-CN"/>
              </w:rPr>
            </w:pPr>
            <w:r>
              <w:rPr>
                <w:rFonts w:hint="eastAsia" w:ascii="Times New Roman" w:hAnsi="Times New Roman" w:eastAsia="仿宋" w:cs="仿宋"/>
                <w:sz w:val="24"/>
                <w:szCs w:val="24"/>
                <w:lang w:val="en-US" w:eastAsia="zh-CN"/>
              </w:rPr>
              <w:t>18</w:t>
            </w:r>
          </w:p>
        </w:tc>
        <w:tc>
          <w:tcPr>
            <w:tcW w:w="1508" w:type="dxa"/>
            <w:noWrap w:val="0"/>
            <w:vAlign w:val="center"/>
          </w:tcPr>
          <w:p w14:paraId="114265C3">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jc w:val="center"/>
              <w:textAlignment w:val="baseline"/>
              <w:rPr>
                <w:rFonts w:hint="eastAsia" w:ascii="Times New Roman" w:hAnsi="Times New Roman" w:eastAsia="仿宋" w:cs="仿宋"/>
                <w:sz w:val="24"/>
                <w:szCs w:val="24"/>
              </w:rPr>
            </w:pPr>
            <w:r>
              <w:rPr>
                <w:rFonts w:hint="eastAsia" w:ascii="Times New Roman" w:hAnsi="Times New Roman" w:eastAsia="仿宋" w:cs="仿宋"/>
                <w:sz w:val="24"/>
                <w:szCs w:val="24"/>
              </w:rPr>
              <w:t>家政服务</w:t>
            </w:r>
          </w:p>
          <w:p w14:paraId="707DF16F">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jc w:val="center"/>
              <w:textAlignment w:val="baseline"/>
              <w:rPr>
                <w:rFonts w:hint="eastAsia" w:ascii="Times New Roman" w:hAnsi="Times New Roman" w:eastAsia="仿宋" w:cs="仿宋"/>
                <w:sz w:val="24"/>
                <w:szCs w:val="24"/>
              </w:rPr>
            </w:pPr>
            <w:r>
              <w:rPr>
                <w:rFonts w:hint="eastAsia" w:ascii="Times New Roman" w:hAnsi="Times New Roman" w:eastAsia="仿宋" w:cs="仿宋"/>
                <w:sz w:val="24"/>
                <w:szCs w:val="24"/>
              </w:rPr>
              <w:t>（整理收纳）</w:t>
            </w:r>
          </w:p>
          <w:p w14:paraId="68C8FE2F">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jc w:val="center"/>
              <w:textAlignment w:val="baseline"/>
              <w:rPr>
                <w:rFonts w:hint="eastAsia" w:ascii="Times New Roman" w:hAnsi="Times New Roman" w:eastAsia="仿宋" w:cs="仿宋"/>
                <w:sz w:val="24"/>
                <w:szCs w:val="24"/>
              </w:rPr>
            </w:pPr>
            <w:r>
              <w:rPr>
                <w:rFonts w:hint="eastAsia" w:ascii="Times New Roman" w:hAnsi="Times New Roman" w:eastAsia="仿宋" w:cs="仿宋"/>
                <w:sz w:val="24"/>
                <w:szCs w:val="24"/>
              </w:rPr>
              <w:t>（双人项目）</w:t>
            </w:r>
          </w:p>
        </w:tc>
        <w:tc>
          <w:tcPr>
            <w:tcW w:w="6662" w:type="dxa"/>
            <w:noWrap w:val="0"/>
            <w:vAlign w:val="center"/>
          </w:tcPr>
          <w:p w14:paraId="24A708A5">
            <w:pPr>
              <w:keepNext w:val="0"/>
              <w:keepLines w:val="0"/>
              <w:pageBreakBefore w:val="0"/>
              <w:widowControl/>
              <w:kinsoku w:val="0"/>
              <w:wordWrap/>
              <w:overflowPunct/>
              <w:topLinePunct w:val="0"/>
              <w:autoSpaceDE w:val="0"/>
              <w:autoSpaceDN w:val="0"/>
              <w:bidi w:val="0"/>
              <w:adjustRightInd w:val="0"/>
              <w:snapToGrid w:val="0"/>
              <w:spacing w:line="300" w:lineRule="exact"/>
              <w:ind w:left="0"/>
              <w:jc w:val="left"/>
              <w:textAlignment w:val="baseline"/>
              <w:rPr>
                <w:rFonts w:hint="eastAsia" w:ascii="Times New Roman" w:hAnsi="Times New Roman" w:eastAsia="仿宋" w:cs="仿宋"/>
                <w:sz w:val="21"/>
                <w:szCs w:val="21"/>
              </w:rPr>
            </w:pPr>
            <w:r>
              <w:rPr>
                <w:rFonts w:hint="eastAsia" w:ascii="Times New Roman" w:hAnsi="Times New Roman" w:eastAsia="仿宋" w:cs="仿宋"/>
                <w:sz w:val="21"/>
                <w:szCs w:val="21"/>
              </w:rPr>
              <w:t>整理收纳是考核收纳师从空间诊断、空间规划、空间改造、色彩搭配、整理技巧等技能，为高净值客户、刚需客户提供家庭十大空间的物品整理收纳及改造。本赛项共有五个模块：</w:t>
            </w:r>
          </w:p>
          <w:p w14:paraId="34B1F930">
            <w:pPr>
              <w:keepNext w:val="0"/>
              <w:keepLines w:val="0"/>
              <w:pageBreakBefore w:val="0"/>
              <w:widowControl/>
              <w:kinsoku w:val="0"/>
              <w:wordWrap/>
              <w:overflowPunct/>
              <w:topLinePunct w:val="0"/>
              <w:autoSpaceDE w:val="0"/>
              <w:autoSpaceDN w:val="0"/>
              <w:bidi w:val="0"/>
              <w:adjustRightInd w:val="0"/>
              <w:snapToGrid w:val="0"/>
              <w:spacing w:line="300" w:lineRule="exact"/>
              <w:ind w:left="0"/>
              <w:jc w:val="left"/>
              <w:textAlignment w:val="baseline"/>
              <w:rPr>
                <w:rFonts w:hint="eastAsia" w:ascii="Times New Roman" w:hAnsi="Times New Roman" w:eastAsia="仿宋" w:cs="仿宋"/>
                <w:sz w:val="21"/>
                <w:szCs w:val="21"/>
              </w:rPr>
            </w:pPr>
            <w:r>
              <w:rPr>
                <w:rFonts w:hint="eastAsia" w:ascii="Times New Roman" w:hAnsi="Times New Roman" w:eastAsia="仿宋" w:cs="仿宋"/>
                <w:sz w:val="21"/>
                <w:szCs w:val="21"/>
              </w:rPr>
              <w:t>模块一：不同质地衣物的晾晒方法  模块二：衣物的折叠方法及整理要求  模块三：衣物的收纳方法及注意事项   模块四：衣物的防霉防蛀方法及注意事项   模块五：鞋、帽、包的收纳方法及注意事项。</w:t>
            </w:r>
          </w:p>
        </w:tc>
      </w:tr>
      <w:tr w14:paraId="77EDA8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14" w:hRule="atLeast"/>
          <w:jc w:val="center"/>
        </w:trPr>
        <w:tc>
          <w:tcPr>
            <w:tcW w:w="697" w:type="dxa"/>
            <w:noWrap w:val="0"/>
            <w:vAlign w:val="center"/>
          </w:tcPr>
          <w:p w14:paraId="18EF5CA9">
            <w:pPr>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hint="default" w:ascii="Times New Roman" w:hAnsi="Times New Roman" w:eastAsia="仿宋" w:cs="仿宋"/>
                <w:sz w:val="24"/>
                <w:szCs w:val="24"/>
                <w:lang w:val="en-US" w:eastAsia="zh-CN"/>
              </w:rPr>
            </w:pPr>
            <w:r>
              <w:rPr>
                <w:rFonts w:hint="eastAsia" w:ascii="Times New Roman" w:hAnsi="Times New Roman" w:eastAsia="仿宋" w:cs="仿宋"/>
                <w:sz w:val="24"/>
                <w:szCs w:val="24"/>
                <w:lang w:val="en-US" w:eastAsia="zh-CN"/>
              </w:rPr>
              <w:t>19</w:t>
            </w:r>
          </w:p>
        </w:tc>
        <w:tc>
          <w:tcPr>
            <w:tcW w:w="1508" w:type="dxa"/>
            <w:noWrap w:val="0"/>
            <w:vAlign w:val="center"/>
          </w:tcPr>
          <w:p w14:paraId="7F31FA1A">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jc w:val="center"/>
              <w:textAlignment w:val="baseline"/>
              <w:rPr>
                <w:rFonts w:hint="eastAsia" w:ascii="Times New Roman" w:hAnsi="Times New Roman" w:eastAsia="仿宋" w:cs="仿宋"/>
                <w:sz w:val="24"/>
                <w:szCs w:val="24"/>
              </w:rPr>
            </w:pPr>
            <w:r>
              <w:rPr>
                <w:rFonts w:hint="eastAsia" w:ascii="Times New Roman" w:hAnsi="Times New Roman" w:eastAsia="仿宋" w:cs="仿宋"/>
                <w:sz w:val="24"/>
                <w:szCs w:val="24"/>
              </w:rPr>
              <w:t>茶艺</w:t>
            </w:r>
          </w:p>
        </w:tc>
        <w:tc>
          <w:tcPr>
            <w:tcW w:w="6662" w:type="dxa"/>
            <w:noWrap w:val="0"/>
            <w:vAlign w:val="center"/>
          </w:tcPr>
          <w:p w14:paraId="2A959787">
            <w:pPr>
              <w:keepNext w:val="0"/>
              <w:keepLines w:val="0"/>
              <w:pageBreakBefore w:val="0"/>
              <w:widowControl/>
              <w:kinsoku w:val="0"/>
              <w:wordWrap/>
              <w:overflowPunct/>
              <w:topLinePunct w:val="0"/>
              <w:autoSpaceDE w:val="0"/>
              <w:autoSpaceDN w:val="0"/>
              <w:bidi w:val="0"/>
              <w:adjustRightInd w:val="0"/>
              <w:snapToGrid w:val="0"/>
              <w:spacing w:line="300" w:lineRule="exact"/>
              <w:ind w:left="0"/>
              <w:jc w:val="left"/>
              <w:textAlignment w:val="baseline"/>
              <w:rPr>
                <w:rFonts w:hint="eastAsia" w:ascii="Times New Roman" w:hAnsi="Times New Roman" w:eastAsia="仿宋" w:cs="仿宋"/>
                <w:sz w:val="21"/>
                <w:szCs w:val="21"/>
              </w:rPr>
            </w:pPr>
            <w:r>
              <w:rPr>
                <w:rFonts w:hint="eastAsia" w:ascii="Times New Roman" w:hAnsi="Times New Roman" w:eastAsia="仿宋" w:cs="仿宋"/>
                <w:sz w:val="21"/>
                <w:szCs w:val="21"/>
              </w:rPr>
              <w:t>茶艺技能竞赛成绩由理论知识和技能操作两部分成绩组成。其中，理论知识占20%，技能操作赞80%。竞赛标准为个人赛，竞赛试题结合茶艺师职业岗位的技能要求，并依据《茶艺师国家职业技能标准》（三级及以上）考核理论，依据《茶艺职业技能竞赛技术规程》，分别考核选手规定茶艺、茶汤质量、茶叶审评及自创茶艺的技能</w:t>
            </w:r>
          </w:p>
        </w:tc>
      </w:tr>
      <w:tr w14:paraId="4FB74A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2" w:hRule="atLeast"/>
          <w:jc w:val="center"/>
        </w:trPr>
        <w:tc>
          <w:tcPr>
            <w:tcW w:w="697" w:type="dxa"/>
            <w:noWrap w:val="0"/>
            <w:vAlign w:val="center"/>
          </w:tcPr>
          <w:p w14:paraId="200582BB">
            <w:pPr>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hint="default" w:ascii="Times New Roman" w:hAnsi="Times New Roman" w:eastAsia="仿宋" w:cs="仿宋"/>
                <w:sz w:val="24"/>
                <w:szCs w:val="24"/>
                <w:lang w:val="en-US" w:eastAsia="zh-CN"/>
              </w:rPr>
            </w:pPr>
            <w:r>
              <w:rPr>
                <w:rFonts w:hint="eastAsia" w:ascii="Times New Roman" w:hAnsi="Times New Roman" w:eastAsia="仿宋" w:cs="仿宋"/>
                <w:sz w:val="24"/>
                <w:szCs w:val="24"/>
                <w:lang w:val="en-US" w:eastAsia="zh-CN"/>
              </w:rPr>
              <w:t>20</w:t>
            </w:r>
          </w:p>
        </w:tc>
        <w:tc>
          <w:tcPr>
            <w:tcW w:w="1508" w:type="dxa"/>
            <w:noWrap w:val="0"/>
            <w:vAlign w:val="center"/>
          </w:tcPr>
          <w:p w14:paraId="1D153C4A">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jc w:val="center"/>
              <w:textAlignment w:val="baseline"/>
              <w:rPr>
                <w:rFonts w:hint="eastAsia" w:ascii="Times New Roman" w:hAnsi="Times New Roman" w:eastAsia="仿宋" w:cs="仿宋"/>
                <w:sz w:val="24"/>
                <w:szCs w:val="24"/>
              </w:rPr>
            </w:pPr>
            <w:r>
              <w:rPr>
                <w:rFonts w:hint="eastAsia" w:ascii="Times New Roman" w:hAnsi="Times New Roman" w:eastAsia="仿宋" w:cs="仿宋"/>
                <w:sz w:val="24"/>
                <w:szCs w:val="24"/>
              </w:rPr>
              <w:t>手工制茶</w:t>
            </w:r>
          </w:p>
        </w:tc>
        <w:tc>
          <w:tcPr>
            <w:tcW w:w="6662" w:type="dxa"/>
            <w:noWrap w:val="0"/>
            <w:vAlign w:val="center"/>
          </w:tcPr>
          <w:p w14:paraId="0BBE1A28">
            <w:pPr>
              <w:keepNext w:val="0"/>
              <w:keepLines w:val="0"/>
              <w:pageBreakBefore w:val="0"/>
              <w:widowControl/>
              <w:kinsoku w:val="0"/>
              <w:wordWrap/>
              <w:overflowPunct/>
              <w:topLinePunct w:val="0"/>
              <w:autoSpaceDE w:val="0"/>
              <w:autoSpaceDN w:val="0"/>
              <w:bidi w:val="0"/>
              <w:adjustRightInd w:val="0"/>
              <w:snapToGrid w:val="0"/>
              <w:spacing w:line="300" w:lineRule="exact"/>
              <w:ind w:left="0"/>
              <w:jc w:val="left"/>
              <w:textAlignment w:val="baseline"/>
              <w:rPr>
                <w:rFonts w:hint="eastAsia" w:ascii="Times New Roman" w:hAnsi="Times New Roman" w:eastAsia="仿宋" w:cs="仿宋"/>
                <w:sz w:val="21"/>
                <w:szCs w:val="21"/>
              </w:rPr>
            </w:pPr>
            <w:r>
              <w:rPr>
                <w:rFonts w:hint="eastAsia" w:ascii="Times New Roman" w:hAnsi="Times New Roman" w:eastAsia="仿宋" w:cs="仿宋"/>
                <w:sz w:val="21"/>
                <w:szCs w:val="21"/>
              </w:rPr>
              <w:t>本赛项旨在传承非遗传统手工制茶技艺，通过竞赛引导中国传统手工制茶向“绿色、健康、创新”的方向发展，努力探索培养一线茶叶加工高技能人才的新途径和新方法，为促进我市乡村振兴和茶产业有序发展</w:t>
            </w:r>
            <w:r>
              <w:rPr>
                <w:rFonts w:hint="eastAsia" w:eastAsia="仿宋" w:cs="仿宋"/>
                <w:sz w:val="21"/>
                <w:szCs w:val="21"/>
                <w:lang w:val="en-US" w:eastAsia="zh-CN"/>
              </w:rPr>
              <w:t>作</w:t>
            </w:r>
            <w:r>
              <w:rPr>
                <w:rFonts w:hint="eastAsia" w:ascii="Times New Roman" w:hAnsi="Times New Roman" w:eastAsia="仿宋" w:cs="仿宋"/>
                <w:sz w:val="21"/>
                <w:szCs w:val="21"/>
              </w:rPr>
              <w:t>出更大贡献。本次手工制茶大赛主要考核选手传统手工炒茶技艺，培养选手爱岗敬业与创新能力，所有选手均参加手工现场制茶竞技—卷曲绿茶炒制。选手按照卷曲绿茶手工制作流程规范，在规定时间内现场完成操作。</w:t>
            </w:r>
          </w:p>
          <w:p w14:paraId="6AD8AE3E">
            <w:pPr>
              <w:keepNext w:val="0"/>
              <w:keepLines w:val="0"/>
              <w:pageBreakBefore w:val="0"/>
              <w:widowControl/>
              <w:kinsoku w:val="0"/>
              <w:wordWrap/>
              <w:overflowPunct/>
              <w:topLinePunct w:val="0"/>
              <w:autoSpaceDE w:val="0"/>
              <w:autoSpaceDN w:val="0"/>
              <w:bidi w:val="0"/>
              <w:adjustRightInd w:val="0"/>
              <w:snapToGrid w:val="0"/>
              <w:spacing w:line="300" w:lineRule="exact"/>
              <w:ind w:left="0"/>
              <w:jc w:val="left"/>
              <w:textAlignment w:val="baseline"/>
              <w:rPr>
                <w:rFonts w:hint="eastAsia" w:ascii="Times New Roman" w:hAnsi="Times New Roman" w:eastAsia="仿宋" w:cs="仿宋"/>
                <w:sz w:val="21"/>
                <w:szCs w:val="21"/>
              </w:rPr>
            </w:pPr>
            <w:r>
              <w:rPr>
                <w:rFonts w:hint="eastAsia" w:ascii="Times New Roman" w:hAnsi="Times New Roman" w:eastAsia="仿宋" w:cs="仿宋"/>
                <w:sz w:val="21"/>
                <w:szCs w:val="21"/>
              </w:rPr>
              <w:t>绿茶操作流程规范：鲜叶→摊放→杀青→造形→干燥</w:t>
            </w:r>
          </w:p>
        </w:tc>
      </w:tr>
      <w:tr w14:paraId="4D46D3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2" w:hRule="atLeast"/>
          <w:jc w:val="center"/>
        </w:trPr>
        <w:tc>
          <w:tcPr>
            <w:tcW w:w="697" w:type="dxa"/>
            <w:noWrap w:val="0"/>
            <w:vAlign w:val="center"/>
          </w:tcPr>
          <w:p w14:paraId="4672B106">
            <w:pPr>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hint="default" w:ascii="Times New Roman" w:hAnsi="Times New Roman" w:eastAsia="仿宋" w:cs="仿宋"/>
                <w:sz w:val="24"/>
                <w:szCs w:val="24"/>
                <w:lang w:val="en-US" w:eastAsia="zh-CN"/>
              </w:rPr>
            </w:pPr>
            <w:r>
              <w:rPr>
                <w:rFonts w:hint="eastAsia" w:ascii="Times New Roman" w:hAnsi="Times New Roman" w:eastAsia="仿宋" w:cs="仿宋"/>
                <w:sz w:val="24"/>
                <w:szCs w:val="24"/>
                <w:lang w:val="en-US" w:eastAsia="zh-CN"/>
              </w:rPr>
              <w:t>21</w:t>
            </w:r>
          </w:p>
        </w:tc>
        <w:tc>
          <w:tcPr>
            <w:tcW w:w="1508" w:type="dxa"/>
            <w:noWrap w:val="0"/>
            <w:vAlign w:val="center"/>
          </w:tcPr>
          <w:p w14:paraId="77B66FDA">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jc w:val="center"/>
              <w:textAlignment w:val="baseline"/>
              <w:rPr>
                <w:rFonts w:hint="eastAsia" w:ascii="Times New Roman" w:hAnsi="Times New Roman" w:eastAsia="仿宋" w:cs="仿宋"/>
                <w:sz w:val="24"/>
                <w:szCs w:val="24"/>
              </w:rPr>
            </w:pPr>
            <w:r>
              <w:rPr>
                <w:rFonts w:hint="eastAsia" w:ascii="Times New Roman" w:hAnsi="Times New Roman" w:eastAsia="仿宋" w:cs="仿宋"/>
                <w:sz w:val="24"/>
                <w:szCs w:val="24"/>
              </w:rPr>
              <w:t>传统螺蛳粉</w:t>
            </w:r>
          </w:p>
          <w:p w14:paraId="7523EB82">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jc w:val="center"/>
              <w:textAlignment w:val="baseline"/>
              <w:rPr>
                <w:rFonts w:hint="eastAsia" w:ascii="Times New Roman" w:hAnsi="Times New Roman" w:eastAsia="仿宋" w:cs="仿宋"/>
                <w:sz w:val="24"/>
                <w:szCs w:val="24"/>
              </w:rPr>
            </w:pPr>
            <w:r>
              <w:rPr>
                <w:rFonts w:hint="eastAsia" w:ascii="Times New Roman" w:hAnsi="Times New Roman" w:eastAsia="仿宋" w:cs="仿宋"/>
                <w:sz w:val="24"/>
                <w:szCs w:val="24"/>
              </w:rPr>
              <w:t>制作</w:t>
            </w:r>
          </w:p>
        </w:tc>
        <w:tc>
          <w:tcPr>
            <w:tcW w:w="6662" w:type="dxa"/>
            <w:noWrap w:val="0"/>
            <w:vAlign w:val="center"/>
          </w:tcPr>
          <w:p w14:paraId="27B0A34E">
            <w:pPr>
              <w:keepNext w:val="0"/>
              <w:keepLines w:val="0"/>
              <w:pageBreakBefore w:val="0"/>
              <w:widowControl/>
              <w:kinsoku w:val="0"/>
              <w:wordWrap/>
              <w:overflowPunct/>
              <w:topLinePunct w:val="0"/>
              <w:autoSpaceDE w:val="0"/>
              <w:autoSpaceDN w:val="0"/>
              <w:bidi w:val="0"/>
              <w:adjustRightInd w:val="0"/>
              <w:snapToGrid w:val="0"/>
              <w:spacing w:line="300" w:lineRule="exact"/>
              <w:ind w:left="0"/>
              <w:jc w:val="left"/>
              <w:textAlignment w:val="baseline"/>
              <w:rPr>
                <w:rFonts w:hint="eastAsia" w:ascii="Times New Roman" w:hAnsi="Times New Roman" w:eastAsia="仿宋" w:cs="仿宋"/>
                <w:sz w:val="21"/>
                <w:szCs w:val="21"/>
              </w:rPr>
            </w:pPr>
            <w:r>
              <w:rPr>
                <w:rFonts w:hint="eastAsia" w:ascii="Times New Roman" w:hAnsi="Times New Roman" w:eastAsia="仿宋" w:cs="仿宋"/>
                <w:sz w:val="21"/>
                <w:szCs w:val="21"/>
              </w:rPr>
              <w:t>本赛项是按照国家职业技能标准（四级）的要求，结合广西米粉产业实际生产技术行业标准来制定比赛规则。比赛共有三个模块：模块A：螺蛳粉原味汤的调制。模块B：螺蛳粉配菜制作技艺（1. 辣椒油的熬制。2.酸笋、酸豆角、萝卜干、木耳、黄花菜的炒制。3.花生、腐竹的炸制。4.螺蛳粉干米粉的复水技术。）模块C：螺蛳粉成品制作的呈现。</w:t>
            </w:r>
          </w:p>
        </w:tc>
      </w:tr>
      <w:tr w14:paraId="77ED72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90" w:hRule="atLeast"/>
          <w:jc w:val="center"/>
        </w:trPr>
        <w:tc>
          <w:tcPr>
            <w:tcW w:w="697" w:type="dxa"/>
            <w:noWrap w:val="0"/>
            <w:vAlign w:val="center"/>
          </w:tcPr>
          <w:p w14:paraId="5F35655C">
            <w:pPr>
              <w:keepNext w:val="0"/>
              <w:keepLines w:val="0"/>
              <w:pageBreakBefore w:val="0"/>
              <w:widowControl/>
              <w:kinsoku w:val="0"/>
              <w:wordWrap/>
              <w:overflowPunct/>
              <w:topLinePunct w:val="0"/>
              <w:autoSpaceDE w:val="0"/>
              <w:autoSpaceDN w:val="0"/>
              <w:bidi w:val="0"/>
              <w:adjustRightInd w:val="0"/>
              <w:snapToGrid w:val="0"/>
              <w:spacing w:line="300" w:lineRule="exact"/>
              <w:ind w:left="0"/>
              <w:jc w:val="center"/>
              <w:textAlignment w:val="baseline"/>
              <w:rPr>
                <w:rFonts w:hint="default" w:ascii="Times New Roman" w:hAnsi="Times New Roman" w:eastAsia="仿宋" w:cs="仿宋"/>
                <w:sz w:val="24"/>
                <w:szCs w:val="24"/>
                <w:lang w:val="en-US" w:eastAsia="zh-CN"/>
              </w:rPr>
            </w:pPr>
            <w:r>
              <w:rPr>
                <w:rFonts w:hint="eastAsia" w:ascii="Times New Roman" w:hAnsi="Times New Roman" w:eastAsia="仿宋" w:cs="仿宋"/>
                <w:sz w:val="24"/>
                <w:szCs w:val="24"/>
                <w:lang w:val="en-US" w:eastAsia="zh-CN"/>
              </w:rPr>
              <w:t>22</w:t>
            </w:r>
          </w:p>
        </w:tc>
        <w:tc>
          <w:tcPr>
            <w:tcW w:w="1508" w:type="dxa"/>
            <w:noWrap w:val="0"/>
            <w:vAlign w:val="center"/>
          </w:tcPr>
          <w:p w14:paraId="02FCF653">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jc w:val="center"/>
              <w:textAlignment w:val="baseline"/>
              <w:rPr>
                <w:rFonts w:hint="eastAsia" w:ascii="Times New Roman" w:hAnsi="Times New Roman" w:eastAsia="仿宋" w:cs="仿宋"/>
                <w:sz w:val="24"/>
                <w:szCs w:val="24"/>
              </w:rPr>
            </w:pPr>
            <w:r>
              <w:rPr>
                <w:rFonts w:hint="eastAsia" w:ascii="Times New Roman" w:hAnsi="Times New Roman" w:eastAsia="仿宋" w:cs="仿宋"/>
                <w:sz w:val="24"/>
                <w:szCs w:val="24"/>
              </w:rPr>
              <w:t>企业班组管理</w:t>
            </w:r>
          </w:p>
        </w:tc>
        <w:tc>
          <w:tcPr>
            <w:tcW w:w="6662" w:type="dxa"/>
            <w:noWrap w:val="0"/>
            <w:vAlign w:val="center"/>
          </w:tcPr>
          <w:p w14:paraId="1940F89F">
            <w:pPr>
              <w:keepNext w:val="0"/>
              <w:keepLines w:val="0"/>
              <w:pageBreakBefore w:val="0"/>
              <w:widowControl/>
              <w:kinsoku w:val="0"/>
              <w:wordWrap/>
              <w:overflowPunct/>
              <w:topLinePunct w:val="0"/>
              <w:autoSpaceDE w:val="0"/>
              <w:autoSpaceDN w:val="0"/>
              <w:bidi w:val="0"/>
              <w:adjustRightInd w:val="0"/>
              <w:snapToGrid w:val="0"/>
              <w:spacing w:line="300" w:lineRule="exact"/>
              <w:ind w:left="0"/>
              <w:jc w:val="left"/>
              <w:textAlignment w:val="baseline"/>
              <w:rPr>
                <w:rFonts w:hint="eastAsia" w:ascii="Times New Roman" w:hAnsi="Times New Roman" w:eastAsia="仿宋" w:cs="仿宋"/>
                <w:sz w:val="21"/>
                <w:szCs w:val="21"/>
              </w:rPr>
            </w:pPr>
            <w:r>
              <w:rPr>
                <w:rFonts w:hint="eastAsia" w:ascii="Times New Roman" w:hAnsi="Times New Roman" w:eastAsia="仿宋" w:cs="仿宋"/>
                <w:sz w:val="21"/>
                <w:szCs w:val="21"/>
              </w:rPr>
              <w:t>依据《机械行业班组长职业技能等级标准》规定的知识和技能要求，重点围绕机械行业企业现场安全、质量、成本、生产、设备、环境、人事等七大管理内容，以及数字化转型知识，突出基本理论知识、实践操作技能、现代化管理方法等。</w:t>
            </w:r>
          </w:p>
        </w:tc>
      </w:tr>
    </w:tbl>
    <w:p w14:paraId="0ACDDE1E">
      <w:pPr>
        <w:spacing w:before="169" w:line="224" w:lineRule="auto"/>
        <w:rPr>
          <w:rFonts w:hint="eastAsia" w:ascii="Times New Roman" w:hAnsi="Times New Roman" w:eastAsia="黑体" w:cs="黑体"/>
          <w:b w:val="0"/>
          <w:bCs w:val="0"/>
          <w:spacing w:val="0"/>
          <w:sz w:val="32"/>
          <w:szCs w:val="32"/>
        </w:rPr>
      </w:pPr>
    </w:p>
    <w:p w14:paraId="69816E5D">
      <w:pPr>
        <w:bidi w:val="0"/>
        <w:jc w:val="center"/>
        <w:rPr>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CF99F7FE-ADA9-4A06-9728-06F58B4ECF9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黑体简体">
    <w:altName w:val="微软雅黑"/>
    <w:panose1 w:val="02000000000000000000"/>
    <w:charset w:val="86"/>
    <w:family w:val="auto"/>
    <w:pitch w:val="default"/>
    <w:sig w:usb0="00000000" w:usb1="00000000" w:usb2="00000012" w:usb3="00000000" w:csb0="00040001" w:csb1="00000000"/>
    <w:embedRegular r:id="rId2" w:fontKey="{92B39EC8-132A-4A66-8EF9-AEC2324B750C}"/>
  </w:font>
  <w:font w:name="方正小标宋简体">
    <w:panose1 w:val="02000000000000000000"/>
    <w:charset w:val="86"/>
    <w:family w:val="auto"/>
    <w:pitch w:val="default"/>
    <w:sig w:usb0="00000001" w:usb1="08000000" w:usb2="00000000" w:usb3="00000000" w:csb0="00040000" w:csb1="00000000"/>
    <w:embedRegular r:id="rId3" w:fontKey="{5504A367-41BA-45BC-95C1-8BB291CF9782}"/>
  </w:font>
  <w:font w:name="仿宋">
    <w:panose1 w:val="02010609060101010101"/>
    <w:charset w:val="86"/>
    <w:family w:val="auto"/>
    <w:pitch w:val="default"/>
    <w:sig w:usb0="800002BF" w:usb1="38CF7CFA" w:usb2="00000016" w:usb3="00000000" w:csb0="00040001" w:csb1="00000000"/>
    <w:embedRegular r:id="rId4" w:fontKey="{68BF859A-96E3-4BA5-889F-C44F6985A18A}"/>
  </w:font>
  <w:font w:name="仿宋_GB2312">
    <w:altName w:val="仿宋"/>
    <w:panose1 w:val="02010609030101010101"/>
    <w:charset w:val="86"/>
    <w:family w:val="modern"/>
    <w:pitch w:val="default"/>
    <w:sig w:usb0="00000000" w:usb1="00000000" w:usb2="00000000" w:usb3="00000000" w:csb0="00040000" w:csb1="00000000"/>
    <w:embedRegular r:id="rId5" w:fontKey="{7CEDE6AE-7BEB-4A42-AC8E-BBA213AF937A}"/>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E2NTc0MTVmMWUyNGQzNGUwNzFkZjI3NWRmMWQ4ZWIifQ=="/>
  </w:docVars>
  <w:rsids>
    <w:rsidRoot w:val="5EA6176B"/>
    <w:rsid w:val="4AEB2C5B"/>
    <w:rsid w:val="59084FE4"/>
    <w:rsid w:val="5EA6176B"/>
    <w:rsid w:val="605D5FA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8">
    <w:name w:val="Default Paragraph Font"/>
    <w:semiHidden/>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footnote text"/>
    <w:basedOn w:val="1"/>
    <w:next w:val="3"/>
    <w:semiHidden/>
    <w:qFormat/>
    <w:uiPriority w:val="0"/>
    <w:pPr>
      <w:snapToGrid w:val="0"/>
      <w:jc w:val="left"/>
    </w:pPr>
    <w:rPr>
      <w:sz w:val="18"/>
      <w:szCs w:val="18"/>
    </w:rPr>
  </w:style>
  <w:style w:type="paragraph" w:styleId="3">
    <w:name w:val="Body Text First Indent 2"/>
    <w:basedOn w:val="4"/>
    <w:next w:val="1"/>
    <w:qFormat/>
    <w:uiPriority w:val="0"/>
    <w:pPr>
      <w:widowControl/>
      <w:spacing w:after="0"/>
      <w:ind w:left="0" w:leftChars="0" w:firstLine="420" w:firstLineChars="200"/>
    </w:pPr>
    <w:rPr>
      <w:rFonts w:ascii="Times New Roman" w:hAnsi="Times New Roman" w:cs="Times New Roman"/>
      <w:szCs w:val="20"/>
    </w:rPr>
  </w:style>
  <w:style w:type="paragraph" w:styleId="4">
    <w:name w:val="Body Text Indent"/>
    <w:basedOn w:val="1"/>
    <w:next w:val="3"/>
    <w:unhideWhenUsed/>
    <w:qFormat/>
    <w:uiPriority w:val="99"/>
    <w:pPr>
      <w:spacing w:after="120"/>
      <w:ind w:left="420" w:leftChars="200"/>
    </w:pPr>
  </w:style>
  <w:style w:type="paragraph" w:styleId="5">
    <w:name w:val="footer"/>
    <w:basedOn w:val="1"/>
    <w:qFormat/>
    <w:uiPriority w:val="99"/>
    <w:pPr>
      <w:tabs>
        <w:tab w:val="center" w:pos="4153"/>
        <w:tab w:val="right" w:pos="8306"/>
      </w:tabs>
      <w:snapToGrid w:val="0"/>
      <w:jc w:val="left"/>
    </w:pPr>
    <w:rPr>
      <w:sz w:val="18"/>
      <w:szCs w:val="18"/>
    </w:rPr>
  </w:style>
  <w:style w:type="paragraph" w:styleId="6">
    <w:name w:val="header"/>
    <w:basedOn w:val="1"/>
    <w:qFormat/>
    <w:uiPriority w:val="0"/>
    <w:pPr>
      <w:pBdr>
        <w:bottom w:val="single" w:color="auto" w:sz="6" w:space="1"/>
      </w:pBdr>
      <w:tabs>
        <w:tab w:val="center" w:pos="4153"/>
        <w:tab w:val="right" w:pos="8306"/>
      </w:tabs>
      <w:snapToGrid w:val="0"/>
      <w:jc w:val="center"/>
    </w:pPr>
    <w:rPr>
      <w:sz w:val="18"/>
      <w:szCs w:val="18"/>
    </w:rPr>
  </w:style>
  <w:style w:type="table" w:customStyle="1" w:styleId="9">
    <w:name w:val="Table Normal"/>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5072</Words>
  <Characters>5219</Characters>
  <Lines>0</Lines>
  <Paragraphs>0</Paragraphs>
  <TotalTime>1</TotalTime>
  <ScaleCrop>false</ScaleCrop>
  <LinksUpToDate>false</LinksUpToDate>
  <CharactersWithSpaces>5257</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2023-03-21T03:10:00Z</dcterms:created>
  <dc:creator>一库</dc:creator>
  <cp:lastModifiedBy>LLK.</cp:lastModifiedBy>
  <dcterms:modified xsi:type="dcterms:W3CDTF">2025-01-14T03:45:22Z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44C7B8FD2BB14B3CBAA47B6EA2F39A09</vt:lpwstr>
  </property>
  <property fmtid="{D5CDD505-2E9C-101B-9397-08002B2CF9AE}" pid="4" name="KSOTemplateDocerSaveRecord">
    <vt:lpwstr>eyJoZGlkIjoiYTJhYjNkNGExYTc0MDQzYmM2MWI3MmI0ZWQyYjMxMTEiLCJ1c2VySWQiOiI1NTUyODE5ODgifQ==</vt:lpwstr>
  </property>
</Properties>
</file>