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hAnsi="Times New Roman" w:eastAsia="方正小标宋简体" w:cs="方正小标宋简体"/>
          <w:color w:val="000000"/>
          <w:sz w:val="44"/>
          <w:szCs w:val="44"/>
          <w:lang w:val="en-US" w:eastAsia="zh-CN"/>
        </w:rPr>
      </w:pPr>
      <w:r>
        <w:rPr>
          <w:rFonts w:hint="eastAsia" w:ascii="Times New Roman" w:hAnsi="Times New Roman" w:eastAsia="方正小标宋简体" w:cs="方正小标宋简体"/>
          <w:color w:val="000000"/>
          <w:sz w:val="44"/>
          <w:szCs w:val="44"/>
          <w:lang w:val="en-US" w:eastAsia="zh-CN"/>
        </w:rPr>
        <w:t>《</w:t>
      </w:r>
      <w:r>
        <w:rPr>
          <w:rFonts w:hint="eastAsia" w:ascii="Times New Roman" w:hAnsi="Times New Roman" w:eastAsia="方正小标宋简体" w:cs="方正小标宋简体"/>
          <w:color w:val="000000"/>
          <w:sz w:val="44"/>
          <w:szCs w:val="44"/>
        </w:rPr>
        <w:t>关于推进国家级柳州人力资源服务产业园</w:t>
      </w:r>
      <w:r>
        <w:rPr>
          <w:rFonts w:hint="eastAsia" w:ascii="Times New Roman" w:hAnsi="Times New Roman" w:eastAsia="方正小标宋简体" w:cs="方正小标宋简体"/>
          <w:color w:val="000000"/>
          <w:sz w:val="44"/>
          <w:szCs w:val="44"/>
          <w:lang w:val="en-US" w:eastAsia="zh-CN"/>
        </w:rPr>
        <w:t>高质量</w:t>
      </w:r>
      <w:r>
        <w:rPr>
          <w:rFonts w:hint="eastAsia" w:ascii="Times New Roman" w:hAnsi="Times New Roman" w:eastAsia="方正小标宋简体" w:cs="方正小标宋简体"/>
          <w:color w:val="000000"/>
          <w:sz w:val="44"/>
          <w:szCs w:val="44"/>
        </w:rPr>
        <w:t>发展</w:t>
      </w:r>
      <w:r>
        <w:rPr>
          <w:rFonts w:hint="eastAsia" w:ascii="Times New Roman" w:hAnsi="Times New Roman" w:eastAsia="方正小标宋简体" w:cs="方正小标宋简体"/>
          <w:color w:val="000000"/>
          <w:sz w:val="44"/>
          <w:szCs w:val="44"/>
          <w:lang w:val="en-US" w:eastAsia="zh-CN"/>
        </w:rPr>
        <w:t>若干措施》起草说明</w:t>
      </w:r>
    </w:p>
    <w:p>
      <w:pPr>
        <w:keepNext w:val="0"/>
        <w:keepLines w:val="0"/>
        <w:pageBreakBefore w:val="0"/>
        <w:widowControl w:val="0"/>
        <w:kinsoku/>
        <w:wordWrap/>
        <w:overflowPunct/>
        <w:topLinePunct w:val="0"/>
        <w:autoSpaceDE/>
        <w:autoSpaceDN/>
        <w:bidi w:val="0"/>
        <w:adjustRightInd/>
        <w:snapToGrid/>
        <w:spacing w:before="313" w:beforeLines="100" w:line="560" w:lineRule="exact"/>
        <w:ind w:left="0" w:firstLine="640" w:firstLineChars="200"/>
        <w:jc w:val="left"/>
        <w:textAlignment w:val="auto"/>
        <w:outlineLvl w:val="9"/>
        <w:rPr>
          <w:rFonts w:hint="eastAsia" w:ascii="Times New Roman" w:hAnsi="Times New Roman" w:eastAsia="黑体" w:cs="黑体"/>
          <w:color w:val="000000"/>
          <w:sz w:val="32"/>
          <w:szCs w:val="32"/>
          <w:lang w:val="en-US" w:eastAsia="zh-CN"/>
        </w:rPr>
      </w:pPr>
      <w:r>
        <w:rPr>
          <w:rFonts w:hint="eastAsia" w:ascii="Times New Roman" w:hAnsi="Times New Roman" w:eastAsia="黑体" w:cs="黑体"/>
          <w:color w:val="000000"/>
          <w:sz w:val="32"/>
          <w:szCs w:val="32"/>
          <w:lang w:val="en-US" w:eastAsia="zh-CN"/>
        </w:rPr>
        <w:t>一、起草背景</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ascii="Times New Roman" w:hAnsi="Times New Roman" w:eastAsia="仿宋_GB2312"/>
          <w:color w:val="000000"/>
          <w:sz w:val="32"/>
          <w:szCs w:val="32"/>
        </w:rPr>
      </w:pPr>
      <w:r>
        <w:rPr>
          <w:rFonts w:ascii="Times New Roman" w:hAnsi="Times New Roman" w:eastAsia="仿宋_GB2312"/>
          <w:color w:val="000000"/>
          <w:sz w:val="32"/>
          <w:szCs w:val="32"/>
        </w:rPr>
        <w:t>近年来，国家、自治区相继出台促进人力资源服务业发展政策文件，要求各地高度重视发展人力资源服务业。《广西人力资源和社会保障事业发展“十四五”规划》</w:t>
      </w:r>
      <w:r>
        <w:rPr>
          <w:rFonts w:hint="eastAsia" w:ascii="Times New Roman" w:hAnsi="Times New Roman" w:eastAsia="仿宋_GB2312"/>
          <w:color w:val="000000"/>
          <w:sz w:val="32"/>
          <w:szCs w:val="32"/>
          <w:lang w:val="en-US" w:eastAsia="zh-CN"/>
        </w:rPr>
        <w:t>也明确</w:t>
      </w:r>
      <w:r>
        <w:rPr>
          <w:rFonts w:ascii="Times New Roman" w:hAnsi="Times New Roman" w:eastAsia="仿宋_GB2312"/>
          <w:color w:val="000000"/>
          <w:sz w:val="32"/>
          <w:szCs w:val="32"/>
        </w:rPr>
        <w:t>提出，广西将创建国家级人力资源服务产业园。我市</w:t>
      </w:r>
      <w:r>
        <w:rPr>
          <w:rFonts w:hint="eastAsia" w:ascii="Times New Roman" w:hAnsi="Times New Roman" w:eastAsia="仿宋_GB2312"/>
          <w:color w:val="000000"/>
          <w:sz w:val="32"/>
          <w:szCs w:val="32"/>
          <w:lang w:val="en-US" w:eastAsia="zh-CN"/>
        </w:rPr>
        <w:t>认真贯彻落实国家、自治区相关部署要求</w:t>
      </w:r>
      <w:r>
        <w:rPr>
          <w:rFonts w:ascii="Times New Roman" w:hAnsi="Times New Roman" w:eastAsia="仿宋_GB2312"/>
          <w:color w:val="000000"/>
          <w:sz w:val="32"/>
          <w:szCs w:val="32"/>
        </w:rPr>
        <w:t>，2019年11月，广西</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柳州</w:t>
      </w:r>
      <w:r>
        <w:rPr>
          <w:rFonts w:hint="eastAsia" w:ascii="Times New Roman" w:hAnsi="Times New Roman" w:eastAsia="仿宋_GB2312"/>
          <w:color w:val="000000"/>
          <w:sz w:val="32"/>
          <w:szCs w:val="32"/>
          <w:lang w:eastAsia="zh-CN"/>
        </w:rPr>
        <w:t>）</w:t>
      </w:r>
      <w:r>
        <w:rPr>
          <w:rFonts w:ascii="Times New Roman" w:hAnsi="Times New Roman" w:eastAsia="仿宋_GB2312"/>
          <w:color w:val="000000"/>
          <w:sz w:val="32"/>
          <w:szCs w:val="32"/>
        </w:rPr>
        <w:t>人力资源服务产业园</w:t>
      </w:r>
      <w:r>
        <w:rPr>
          <w:rFonts w:hint="eastAsia" w:ascii="Times New Roman" w:hAnsi="Times New Roman" w:eastAsia="仿宋_GB2312"/>
          <w:color w:val="000000"/>
          <w:sz w:val="32"/>
          <w:szCs w:val="32"/>
          <w:lang w:val="en-US" w:eastAsia="zh-CN"/>
        </w:rPr>
        <w:t>挂牌运营并被认定为全区</w:t>
      </w:r>
      <w:r>
        <w:rPr>
          <w:rFonts w:ascii="Times New Roman" w:hAnsi="Times New Roman" w:eastAsia="仿宋_GB2312"/>
          <w:color w:val="000000"/>
          <w:sz w:val="32"/>
          <w:szCs w:val="32"/>
        </w:rPr>
        <w:t>首家自治区级人力资源服务产业园</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2023年</w:t>
      </w:r>
      <w:r>
        <w:rPr>
          <w:rFonts w:hint="eastAsia" w:ascii="Times New Roman" w:hAnsi="Times New Roman" w:eastAsia="仿宋_GB2312" w:cs="仿宋_GB2312"/>
          <w:sz w:val="32"/>
          <w:szCs w:val="32"/>
          <w:lang w:val="en-US" w:eastAsia="zh-CN"/>
        </w:rPr>
        <w:t>4月28日，人社部下发《</w:t>
      </w:r>
      <w:r>
        <w:rPr>
          <w:rFonts w:hint="eastAsia" w:ascii="Times New Roman" w:hAnsi="Times New Roman" w:eastAsia="仿宋_GB2312" w:cs="仿宋_GB2312"/>
          <w:sz w:val="32"/>
          <w:szCs w:val="32"/>
          <w:lang w:eastAsia="zh-CN"/>
        </w:rPr>
        <w:t>人力资源社会保障部关于同意部区共建国家级柳州人力资源服务产业园的函》（人社部函〔2023〕39号），标志着广西（柳州）人力资源服务产业园正式成为国家级人力资源服务产业园。为推进国家级柳州人力资源服务产业园（以下简称“产业园”）高质量发展，打造成全区、全</w:t>
      </w:r>
      <w:r>
        <w:rPr>
          <w:rFonts w:hint="eastAsia" w:ascii="Times New Roman" w:hAnsi="Times New Roman" w:eastAsia="仿宋_GB2312" w:cs="Times New Roman"/>
          <w:color w:val="auto"/>
          <w:sz w:val="32"/>
          <w:szCs w:val="32"/>
          <w:lang w:eastAsia="zh-CN"/>
        </w:rPr>
        <w:t>国乃至东盟区域人才培养和输出基地，为柳州、广西经济社会高质量发展提供了坚实的人才保障和智力支撑，</w:t>
      </w:r>
      <w:r>
        <w:rPr>
          <w:rFonts w:ascii="Times New Roman" w:hAnsi="Times New Roman" w:eastAsia="仿宋_GB2312"/>
          <w:color w:val="000000"/>
          <w:sz w:val="32"/>
          <w:szCs w:val="32"/>
        </w:rPr>
        <w:t>市人社局会同有关部门研究起草了《</w:t>
      </w:r>
      <w:r>
        <w:rPr>
          <w:rFonts w:hint="eastAsia" w:ascii="Times New Roman" w:hAnsi="Times New Roman" w:eastAsia="仿宋_GB2312"/>
          <w:color w:val="000000"/>
          <w:sz w:val="32"/>
          <w:szCs w:val="32"/>
        </w:rPr>
        <w:t>关于推进国家级柳州人力资源服务产业园</w:t>
      </w:r>
      <w:r>
        <w:rPr>
          <w:rFonts w:hint="eastAsia" w:ascii="Times New Roman" w:hAnsi="Times New Roman" w:eastAsia="仿宋_GB2312"/>
          <w:color w:val="000000"/>
          <w:sz w:val="32"/>
          <w:szCs w:val="32"/>
          <w:lang w:val="en-US" w:eastAsia="zh-CN"/>
        </w:rPr>
        <w:t>高质量</w:t>
      </w:r>
      <w:r>
        <w:rPr>
          <w:rFonts w:hint="eastAsia" w:ascii="Times New Roman" w:hAnsi="Times New Roman" w:eastAsia="仿宋_GB2312"/>
          <w:color w:val="000000"/>
          <w:sz w:val="32"/>
          <w:szCs w:val="32"/>
        </w:rPr>
        <w:t>发展</w:t>
      </w:r>
      <w:r>
        <w:rPr>
          <w:rFonts w:hint="eastAsia" w:ascii="Times New Roman" w:hAnsi="Times New Roman" w:eastAsia="仿宋_GB2312"/>
          <w:color w:val="000000"/>
          <w:sz w:val="32"/>
          <w:szCs w:val="32"/>
          <w:lang w:val="en-US" w:eastAsia="zh-CN"/>
        </w:rPr>
        <w:t>若干措施</w:t>
      </w:r>
      <w:r>
        <w:rPr>
          <w:rFonts w:ascii="Times New Roman" w:hAnsi="Times New Roman" w:eastAsia="仿宋_GB2312"/>
          <w:color w:val="000000"/>
          <w:sz w:val="32"/>
          <w:szCs w:val="32"/>
        </w:rPr>
        <w:t>》（以下简称“《</w:t>
      </w:r>
      <w:r>
        <w:rPr>
          <w:rFonts w:hint="eastAsia" w:ascii="Times New Roman" w:hAnsi="Times New Roman" w:eastAsia="仿宋_GB2312"/>
          <w:color w:val="000000"/>
          <w:sz w:val="32"/>
          <w:szCs w:val="32"/>
          <w:lang w:val="en-US" w:eastAsia="zh-CN"/>
        </w:rPr>
        <w:t>措施</w:t>
      </w:r>
      <w:r>
        <w:rPr>
          <w:rFonts w:ascii="Times New Roman" w:hAnsi="Times New Roman" w:eastAsia="仿宋_GB2312"/>
          <w:color w:val="000000"/>
          <w:sz w:val="32"/>
          <w:szCs w:val="32"/>
        </w:rPr>
        <w:t>》”）。</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黑体" w:cs="黑体"/>
          <w:color w:val="000000"/>
          <w:sz w:val="32"/>
          <w:szCs w:val="32"/>
          <w:lang w:eastAsia="zh-CN"/>
        </w:rPr>
      </w:pPr>
      <w:r>
        <w:rPr>
          <w:rFonts w:hint="eastAsia" w:ascii="Times New Roman" w:hAnsi="Times New Roman" w:eastAsia="黑体" w:cs="黑体"/>
          <w:color w:val="000000"/>
          <w:sz w:val="32"/>
          <w:szCs w:val="32"/>
          <w:lang w:eastAsia="zh-CN"/>
        </w:rPr>
        <w:t>二、起草过程</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2023年9月，市人社局参考其他省市关于国家级人力资源服务产业园扶持政策，结合我市实际，形成措施初稿；10月11日第一次征求产业园建设工作领导小组成员单位意见，总结收集了12个单位反馈的40条意见（其他24个单位无意见）；11月中旬，市人社局通过走访调研、与相关单位深入沟通，综合考虑各单位修改意见，形成措施第二稿，于11月21日开展第二次征求意见，收集了7个单位反馈的19条意见，经多部门沟通，综合考量后修改完善形成第三稿，于2024年1月9日开展第三次征求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Times New Roman" w:hAnsi="Times New Roman" w:eastAsia="黑体"/>
          <w:color w:val="000000"/>
          <w:sz w:val="32"/>
          <w:szCs w:val="32"/>
          <w:lang w:val="en-US" w:eastAsia="zh-CN"/>
        </w:rPr>
      </w:pPr>
      <w:r>
        <w:rPr>
          <w:rFonts w:hint="eastAsia" w:ascii="Times New Roman" w:hAnsi="Times New Roman" w:eastAsia="黑体"/>
          <w:color w:val="000000"/>
          <w:sz w:val="32"/>
          <w:szCs w:val="32"/>
          <w:lang w:val="en-US" w:eastAsia="zh-CN"/>
        </w:rPr>
        <w:t>三、政策依据</w:t>
      </w:r>
    </w:p>
    <w:p>
      <w:pPr>
        <w:pStyle w:val="4"/>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560" w:lineRule="exact"/>
        <w:ind w:left="0" w:firstLine="640" w:firstLineChars="200"/>
        <w:jc w:val="left"/>
        <w:textAlignment w:val="auto"/>
        <w:rPr>
          <w:rFonts w:hint="eastAsia" w:ascii="Times New Roman" w:hAnsi="Times New Roman" w:eastAsia="仿宋_GB2312" w:cs="仿宋_GB2312"/>
          <w:b w:val="0"/>
          <w:bCs w:val="0"/>
          <w:kern w:val="0"/>
          <w:sz w:val="32"/>
          <w:szCs w:val="32"/>
        </w:rPr>
      </w:pPr>
      <w:r>
        <w:rPr>
          <w:rFonts w:hint="eastAsia" w:ascii="Times New Roman" w:hAnsi="Times New Roman" w:eastAsia="楷体_GB2312" w:cs="楷体_GB2312"/>
          <w:b w:val="0"/>
          <w:bCs w:val="0"/>
          <w:kern w:val="0"/>
          <w:sz w:val="32"/>
          <w:szCs w:val="32"/>
          <w:lang w:eastAsia="zh-CN"/>
        </w:rPr>
        <w:t>（一）</w:t>
      </w:r>
      <w:r>
        <w:rPr>
          <w:rFonts w:hint="eastAsia" w:ascii="Times New Roman" w:hAnsi="Times New Roman" w:eastAsia="仿宋_GB2312" w:cs="仿宋_GB2312"/>
          <w:b w:val="0"/>
          <w:bCs w:val="0"/>
          <w:kern w:val="0"/>
          <w:sz w:val="32"/>
          <w:szCs w:val="32"/>
          <w:lang w:eastAsia="zh-CN"/>
        </w:rPr>
        <w:t>20</w:t>
      </w:r>
      <w:r>
        <w:rPr>
          <w:rFonts w:hint="eastAsia" w:ascii="Times New Roman" w:hAnsi="Times New Roman" w:eastAsia="仿宋_GB2312" w:cs="仿宋_GB2312"/>
          <w:b w:val="0"/>
          <w:bCs w:val="0"/>
          <w:kern w:val="0"/>
          <w:sz w:val="32"/>
          <w:szCs w:val="32"/>
          <w:lang w:val="en-US" w:eastAsia="zh-CN"/>
        </w:rPr>
        <w:t>21</w:t>
      </w:r>
      <w:r>
        <w:rPr>
          <w:rFonts w:hint="eastAsia" w:ascii="Times New Roman" w:hAnsi="Times New Roman" w:eastAsia="仿宋_GB2312" w:cs="仿宋_GB2312"/>
          <w:b w:val="0"/>
          <w:bCs w:val="0"/>
          <w:kern w:val="0"/>
          <w:sz w:val="32"/>
          <w:szCs w:val="32"/>
          <w:lang w:eastAsia="zh-CN"/>
        </w:rPr>
        <w:t>年</w:t>
      </w:r>
      <w:r>
        <w:rPr>
          <w:rFonts w:hint="eastAsia" w:ascii="Times New Roman" w:hAnsi="Times New Roman" w:eastAsia="仿宋_GB2312" w:cs="仿宋_GB2312"/>
          <w:b w:val="0"/>
          <w:bCs w:val="0"/>
          <w:kern w:val="0"/>
          <w:sz w:val="32"/>
          <w:szCs w:val="32"/>
          <w:lang w:val="en-US" w:eastAsia="zh-CN"/>
        </w:rPr>
        <w:t>11</w:t>
      </w:r>
      <w:r>
        <w:rPr>
          <w:rFonts w:hint="eastAsia" w:ascii="Times New Roman" w:hAnsi="Times New Roman" w:eastAsia="仿宋_GB2312" w:cs="仿宋_GB2312"/>
          <w:b w:val="0"/>
          <w:bCs w:val="0"/>
          <w:kern w:val="0"/>
          <w:sz w:val="32"/>
          <w:szCs w:val="32"/>
          <w:lang w:eastAsia="zh-CN"/>
        </w:rPr>
        <w:t>月</w:t>
      </w:r>
      <w:r>
        <w:rPr>
          <w:rFonts w:hint="eastAsia" w:ascii="Times New Roman" w:hAnsi="Times New Roman" w:eastAsia="仿宋_GB2312" w:cs="仿宋_GB2312"/>
          <w:b w:val="0"/>
          <w:bCs w:val="0"/>
          <w:kern w:val="0"/>
          <w:sz w:val="32"/>
          <w:szCs w:val="32"/>
          <w:lang w:val="en-US" w:eastAsia="zh-CN"/>
        </w:rPr>
        <w:t>8</w:t>
      </w:r>
      <w:r>
        <w:rPr>
          <w:rFonts w:hint="eastAsia" w:ascii="Times New Roman" w:hAnsi="Times New Roman" w:eastAsia="仿宋_GB2312" w:cs="仿宋_GB2312"/>
          <w:b w:val="0"/>
          <w:bCs w:val="0"/>
          <w:kern w:val="0"/>
          <w:sz w:val="32"/>
          <w:szCs w:val="32"/>
          <w:lang w:eastAsia="zh-CN"/>
        </w:rPr>
        <w:t>日印发执行的《人力资源社会保障部 国家发展改革委 财政部 商务部 市场监管总局关于推进新时代人力资源服务业高质量发展的意见》（人社部发〔2021〕89号）</w:t>
      </w:r>
      <w:r>
        <w:rPr>
          <w:rFonts w:hint="eastAsia" w:ascii="Times New Roman" w:hAnsi="Times New Roman" w:eastAsia="仿宋_GB2312" w:cs="仿宋_GB2312"/>
          <w:b w:val="0"/>
          <w:bCs w:val="0"/>
          <w:kern w:val="0"/>
          <w:sz w:val="32"/>
          <w:szCs w:val="32"/>
        </w:rPr>
        <w:t>；</w:t>
      </w:r>
    </w:p>
    <w:p>
      <w:pPr>
        <w:pStyle w:val="4"/>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ind w:left="0" w:firstLine="640" w:firstLineChars="200"/>
        <w:jc w:val="left"/>
        <w:textAlignment w:val="auto"/>
        <w:rPr>
          <w:rFonts w:hint="eastAsia" w:ascii="Times New Roman" w:hAnsi="Times New Roman" w:eastAsia="仿宋_GB2312" w:cs="仿宋_GB2312"/>
          <w:b w:val="0"/>
          <w:bCs w:val="0"/>
          <w:kern w:val="0"/>
          <w:sz w:val="32"/>
          <w:szCs w:val="32"/>
          <w:lang w:eastAsia="zh-CN"/>
        </w:rPr>
      </w:pPr>
      <w:r>
        <w:rPr>
          <w:rFonts w:hint="eastAsia" w:ascii="Times New Roman" w:hAnsi="Times New Roman" w:eastAsia="楷体_GB2312" w:cs="楷体_GB2312"/>
          <w:b w:val="0"/>
          <w:bCs w:val="0"/>
          <w:kern w:val="0"/>
          <w:sz w:val="32"/>
          <w:szCs w:val="32"/>
          <w:lang w:eastAsia="zh-CN"/>
        </w:rPr>
        <w:t>（二）</w:t>
      </w:r>
      <w:r>
        <w:rPr>
          <w:rFonts w:hint="eastAsia" w:ascii="Times New Roman" w:hAnsi="Times New Roman" w:eastAsia="仿宋_GB2312" w:cs="仿宋_GB2312"/>
          <w:b w:val="0"/>
          <w:bCs w:val="0"/>
          <w:kern w:val="0"/>
          <w:sz w:val="32"/>
          <w:szCs w:val="32"/>
          <w:lang w:eastAsia="zh-CN"/>
        </w:rPr>
        <w:t>20</w:t>
      </w:r>
      <w:r>
        <w:rPr>
          <w:rFonts w:hint="eastAsia" w:ascii="Times New Roman" w:hAnsi="Times New Roman" w:eastAsia="仿宋_GB2312" w:cs="仿宋_GB2312"/>
          <w:b w:val="0"/>
          <w:bCs w:val="0"/>
          <w:kern w:val="0"/>
          <w:sz w:val="32"/>
          <w:szCs w:val="32"/>
          <w:lang w:val="en-US" w:eastAsia="zh-CN"/>
        </w:rPr>
        <w:t>21</w:t>
      </w:r>
      <w:r>
        <w:rPr>
          <w:rFonts w:hint="eastAsia" w:ascii="Times New Roman" w:hAnsi="Times New Roman" w:eastAsia="仿宋_GB2312" w:cs="仿宋_GB2312"/>
          <w:b w:val="0"/>
          <w:bCs w:val="0"/>
          <w:kern w:val="0"/>
          <w:sz w:val="32"/>
          <w:szCs w:val="32"/>
          <w:lang w:eastAsia="zh-CN"/>
        </w:rPr>
        <w:t>年</w:t>
      </w:r>
      <w:r>
        <w:rPr>
          <w:rFonts w:hint="eastAsia" w:ascii="Times New Roman" w:hAnsi="Times New Roman" w:eastAsia="仿宋_GB2312" w:cs="仿宋_GB2312"/>
          <w:b w:val="0"/>
          <w:bCs w:val="0"/>
          <w:kern w:val="0"/>
          <w:sz w:val="32"/>
          <w:szCs w:val="32"/>
          <w:lang w:val="en-US" w:eastAsia="zh-CN"/>
        </w:rPr>
        <w:t>4</w:t>
      </w:r>
      <w:r>
        <w:rPr>
          <w:rFonts w:hint="eastAsia" w:ascii="Times New Roman" w:hAnsi="Times New Roman" w:eastAsia="仿宋_GB2312" w:cs="仿宋_GB2312"/>
          <w:b w:val="0"/>
          <w:bCs w:val="0"/>
          <w:kern w:val="0"/>
          <w:sz w:val="32"/>
          <w:szCs w:val="32"/>
          <w:lang w:eastAsia="zh-CN"/>
        </w:rPr>
        <w:t>月</w:t>
      </w:r>
      <w:r>
        <w:rPr>
          <w:rFonts w:hint="eastAsia" w:ascii="Times New Roman" w:hAnsi="Times New Roman" w:eastAsia="仿宋_GB2312" w:cs="仿宋_GB2312"/>
          <w:b w:val="0"/>
          <w:bCs w:val="0"/>
          <w:kern w:val="0"/>
          <w:sz w:val="32"/>
          <w:szCs w:val="32"/>
          <w:lang w:val="en-US" w:eastAsia="zh-CN"/>
        </w:rPr>
        <w:t>20</w:t>
      </w:r>
      <w:r>
        <w:rPr>
          <w:rFonts w:hint="eastAsia" w:ascii="Times New Roman" w:hAnsi="Times New Roman" w:eastAsia="仿宋_GB2312" w:cs="仿宋_GB2312"/>
          <w:b w:val="0"/>
          <w:bCs w:val="0"/>
          <w:kern w:val="0"/>
          <w:sz w:val="32"/>
          <w:szCs w:val="32"/>
          <w:lang w:eastAsia="zh-CN"/>
        </w:rPr>
        <w:t>日印发执行的《柳州市人民政府关于印发〈柳州市国民经济和社会发展第十四个五年规划和2035年远景目标纲要〉的通知》（柳政发〔2021〕16号）</w:t>
      </w:r>
      <w:r>
        <w:rPr>
          <w:rFonts w:hint="eastAsia" w:ascii="Times New Roman" w:hAnsi="Times New Roman" w:eastAsia="仿宋_GB2312" w:cs="仿宋_GB2312"/>
          <w:b w:val="0"/>
          <w:bCs w:val="0"/>
          <w:kern w:val="0"/>
          <w:sz w:val="32"/>
          <w:szCs w:val="32"/>
        </w:rPr>
        <w:t>；</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仿宋_GB2312" w:cs="仿宋_GB2312"/>
          <w:b w:val="0"/>
          <w:bCs w:val="0"/>
          <w:kern w:val="0"/>
          <w:sz w:val="32"/>
          <w:szCs w:val="32"/>
          <w:lang w:val="en-US" w:eastAsia="zh-CN"/>
        </w:rPr>
      </w:pPr>
      <w:r>
        <w:rPr>
          <w:rFonts w:hint="eastAsia" w:ascii="Times New Roman" w:hAnsi="Times New Roman" w:eastAsia="楷体_GB2312" w:cs="楷体_GB2312"/>
          <w:b w:val="0"/>
          <w:bCs w:val="0"/>
          <w:kern w:val="0"/>
          <w:sz w:val="32"/>
          <w:szCs w:val="32"/>
          <w:lang w:eastAsia="zh-CN"/>
        </w:rPr>
        <w:t>（三）</w:t>
      </w:r>
      <w:r>
        <w:rPr>
          <w:rFonts w:hint="eastAsia" w:ascii="Times New Roman" w:hAnsi="Times New Roman" w:eastAsia="仿宋_GB2312" w:cs="仿宋_GB2312"/>
          <w:color w:val="000000"/>
          <w:kern w:val="0"/>
          <w:sz w:val="32"/>
          <w:szCs w:val="32"/>
          <w:lang w:val="en-US" w:eastAsia="zh-CN"/>
        </w:rPr>
        <w:t>2021年8月28日印发执行的</w:t>
      </w:r>
      <w:r>
        <w:rPr>
          <w:rFonts w:hint="eastAsia" w:ascii="Times New Roman" w:hAnsi="Times New Roman" w:eastAsia="仿宋_GB2312" w:cs="仿宋_GB2312"/>
          <w:sz w:val="32"/>
          <w:szCs w:val="32"/>
        </w:rPr>
        <w:t>《柳州市人民政府办公室关于印发柳州市现代服务业提升发展三年行动方案（2021—2023）的通知》（柳政办〔2021〕72号）</w:t>
      </w:r>
      <w:r>
        <w:rPr>
          <w:rFonts w:hint="eastAsia" w:ascii="Times New Roman" w:hAnsi="Times New Roman" w:eastAsia="仿宋_GB2312" w:cs="仿宋_GB2312"/>
          <w:b w:val="0"/>
          <w:bCs w:val="0"/>
          <w:kern w:val="0"/>
          <w:sz w:val="32"/>
          <w:szCs w:val="32"/>
        </w:rPr>
        <w:t>；</w:t>
      </w:r>
    </w:p>
    <w:p>
      <w:pPr>
        <w:pStyle w:val="3"/>
        <w:keepNext w:val="0"/>
        <w:keepLines w:val="0"/>
        <w:pageBreakBefore w:val="0"/>
        <w:kinsoku/>
        <w:wordWrap/>
        <w:overflowPunct/>
        <w:topLinePunct w:val="0"/>
        <w:autoSpaceDE/>
        <w:autoSpaceDN/>
        <w:bidi w:val="0"/>
        <w:adjustRightInd/>
        <w:snapToGrid/>
        <w:spacing w:before="0" w:beforeLines="0" w:after="0" w:afterLines="0" w:line="560" w:lineRule="exact"/>
        <w:ind w:left="0" w:firstLine="640" w:firstLineChars="200"/>
        <w:jc w:val="left"/>
        <w:textAlignment w:val="auto"/>
        <w:rPr>
          <w:rFonts w:hint="eastAsia" w:ascii="Times New Roman" w:hAnsi="Times New Roman"/>
          <w:lang w:val="en-US" w:eastAsia="zh-CN"/>
        </w:rPr>
      </w:pPr>
      <w:r>
        <w:rPr>
          <w:rFonts w:hint="eastAsia" w:ascii="Times New Roman" w:hAnsi="Times New Roman" w:eastAsia="楷体_GB2312" w:cs="楷体_GB2312"/>
          <w:b w:val="0"/>
          <w:bCs w:val="0"/>
          <w:color w:val="000000"/>
          <w:kern w:val="0"/>
          <w:sz w:val="32"/>
          <w:szCs w:val="32"/>
          <w:lang w:val="en-US" w:eastAsia="zh-CN" w:bidi="ar-SA"/>
        </w:rPr>
        <w:t>（四）</w:t>
      </w:r>
      <w:r>
        <w:rPr>
          <w:rFonts w:hint="eastAsia" w:ascii="Times New Roman" w:hAnsi="Times New Roman" w:eastAsia="仿宋_GB2312" w:cs="仿宋_GB2312"/>
          <w:b w:val="0"/>
          <w:bCs w:val="0"/>
          <w:color w:val="000000"/>
          <w:kern w:val="0"/>
          <w:sz w:val="32"/>
          <w:szCs w:val="32"/>
          <w:lang w:val="en-US" w:eastAsia="zh-CN" w:bidi="ar-SA"/>
        </w:rPr>
        <w:t>2022年1月29日印发执行的《柳州市人民政府办公室关于印发〈柳州市服务业发展“十四五”规划〉的通知》（柳政办〔2022〕9号）。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Times New Roman" w:hAnsi="Times New Roman" w:eastAsia="黑体"/>
          <w:color w:val="000000"/>
          <w:sz w:val="32"/>
          <w:szCs w:val="32"/>
          <w:lang w:val="en-US" w:eastAsia="zh-CN"/>
        </w:rPr>
      </w:pPr>
      <w:r>
        <w:rPr>
          <w:rFonts w:hint="eastAsia" w:ascii="Times New Roman" w:hAnsi="Times New Roman" w:eastAsia="黑体"/>
          <w:color w:val="000000"/>
          <w:sz w:val="32"/>
          <w:szCs w:val="32"/>
          <w:lang w:val="en-US" w:eastAsia="zh-CN"/>
        </w:rPr>
        <w:t>四、主要内容</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《措施》主要分为三个部分。</w:t>
      </w:r>
    </w:p>
    <w:p>
      <w:pPr>
        <w:keepNext w:val="0"/>
        <w:keepLines w:val="0"/>
        <w:pageBreakBefore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s="仿宋_GB2312"/>
          <w:color w:val="auto"/>
          <w:sz w:val="32"/>
          <w:szCs w:val="32"/>
        </w:rPr>
      </w:pPr>
      <w:r>
        <w:rPr>
          <w:rFonts w:hint="eastAsia" w:ascii="Times New Roman" w:hAnsi="Times New Roman" w:eastAsia="楷体_GB2312" w:cs="楷体_GB2312"/>
          <w:b/>
          <w:color w:val="000000"/>
          <w:sz w:val="32"/>
          <w:szCs w:val="32"/>
        </w:rPr>
        <w:t>第一部分：明确目标任务。</w:t>
      </w:r>
      <w:r>
        <w:rPr>
          <w:rFonts w:hint="eastAsia" w:ascii="Times New Roman" w:hAnsi="Times New Roman" w:eastAsia="仿宋_GB2312" w:cs="仿宋_GB2312"/>
          <w:color w:val="auto"/>
          <w:sz w:val="32"/>
          <w:szCs w:val="32"/>
        </w:rPr>
        <w:t>到2</w:t>
      </w:r>
      <w:r>
        <w:rPr>
          <w:rFonts w:ascii="Times New Roman" w:hAnsi="Times New Roman" w:eastAsia="仿宋_GB2312" w:cs="仿宋_GB2312"/>
          <w:color w:val="auto"/>
          <w:sz w:val="32"/>
          <w:szCs w:val="32"/>
        </w:rPr>
        <w:t>026</w:t>
      </w:r>
      <w:r>
        <w:rPr>
          <w:rFonts w:hint="eastAsia" w:ascii="Times New Roman" w:hAnsi="Times New Roman" w:eastAsia="仿宋_GB2312" w:cs="仿宋_GB2312"/>
          <w:color w:val="auto"/>
          <w:sz w:val="32"/>
          <w:szCs w:val="32"/>
        </w:rPr>
        <w:t>年，产业园入驻企业数达到200家以上，其中规模以上企业超过30家，年营业收入达到100亿元。</w:t>
      </w:r>
    </w:p>
    <w:p>
      <w:pPr>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s="仿宋_GB2312"/>
          <w:color w:val="auto"/>
          <w:sz w:val="32"/>
          <w:szCs w:val="32"/>
          <w:lang w:val="en-US" w:eastAsia="zh-CN"/>
        </w:rPr>
      </w:pPr>
      <w:r>
        <w:rPr>
          <w:rFonts w:ascii="Times New Roman" w:hAnsi="Times New Roman" w:eastAsia="楷体_GB2312" w:cs="楷体_GB2312"/>
          <w:b/>
          <w:color w:val="000000"/>
          <w:sz w:val="32"/>
          <w:szCs w:val="32"/>
        </w:rPr>
        <w:t>第</w:t>
      </w:r>
      <w:r>
        <w:rPr>
          <w:rFonts w:hint="eastAsia" w:ascii="Times New Roman" w:hAnsi="Times New Roman" w:eastAsia="楷体_GB2312" w:cs="楷体_GB2312"/>
          <w:b/>
          <w:color w:val="000000"/>
          <w:sz w:val="32"/>
          <w:szCs w:val="32"/>
          <w:lang w:eastAsia="zh-CN"/>
        </w:rPr>
        <w:t>二</w:t>
      </w:r>
      <w:r>
        <w:rPr>
          <w:rFonts w:ascii="Times New Roman" w:hAnsi="Times New Roman" w:eastAsia="楷体_GB2312" w:cs="楷体_GB2312"/>
          <w:b/>
          <w:color w:val="000000"/>
          <w:sz w:val="32"/>
          <w:szCs w:val="32"/>
        </w:rPr>
        <w:t>部分：</w:t>
      </w:r>
      <w:r>
        <w:rPr>
          <w:rFonts w:hint="eastAsia" w:ascii="Times New Roman" w:hAnsi="Times New Roman" w:eastAsia="楷体_GB2312" w:cs="楷体_GB2312"/>
          <w:b/>
          <w:color w:val="000000"/>
          <w:sz w:val="32"/>
          <w:szCs w:val="32"/>
        </w:rPr>
        <w:t>明确</w:t>
      </w:r>
      <w:r>
        <w:rPr>
          <w:rFonts w:ascii="Times New Roman" w:hAnsi="Times New Roman" w:eastAsia="楷体_GB2312" w:cs="楷体_GB2312"/>
          <w:b/>
          <w:color w:val="000000"/>
          <w:sz w:val="32"/>
          <w:szCs w:val="32"/>
        </w:rPr>
        <w:t>政策措施和责任单位。</w:t>
      </w:r>
      <w:r>
        <w:rPr>
          <w:rFonts w:hint="eastAsia" w:ascii="Times New Roman" w:hAnsi="Times New Roman" w:eastAsia="仿宋_GB2312" w:cs="仿宋_GB2312"/>
          <w:color w:val="auto"/>
          <w:sz w:val="32"/>
          <w:szCs w:val="32"/>
          <w:lang w:eastAsia="zh-CN"/>
        </w:rPr>
        <w:t>围绕产业园管理和布局、支持产业园高质量发展，提出</w:t>
      </w:r>
      <w:r>
        <w:rPr>
          <w:rFonts w:hint="eastAsia" w:ascii="Times New Roman" w:hAnsi="Times New Roman" w:eastAsia="仿宋_GB2312" w:cs="仿宋_GB2312"/>
          <w:color w:val="auto"/>
          <w:sz w:val="32"/>
          <w:szCs w:val="32"/>
          <w:lang w:val="en-US" w:eastAsia="zh-CN"/>
        </w:rPr>
        <w:t>9条措施。</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ascii="Times New Roman" w:hAnsi="Times New Roman" w:eastAsia="仿宋_GB2312" w:cs="仿宋_GB2312"/>
          <w:color w:val="auto"/>
          <w:sz w:val="32"/>
          <w:szCs w:val="32"/>
        </w:rPr>
      </w:pPr>
      <w:r>
        <w:rPr>
          <w:rFonts w:hint="eastAsia" w:ascii="Times New Roman" w:hAnsi="Times New Roman" w:eastAsia="楷体" w:cs="楷体"/>
          <w:b/>
          <w:bCs/>
          <w:color w:val="auto"/>
          <w:sz w:val="32"/>
          <w:szCs w:val="32"/>
          <w:lang w:eastAsia="zh-CN"/>
        </w:rPr>
        <w:t>一是改进</w:t>
      </w:r>
      <w:r>
        <w:rPr>
          <w:rFonts w:hint="eastAsia" w:ascii="Times New Roman" w:hAnsi="Times New Roman" w:eastAsia="仿宋_GB2312" w:cs="仿宋"/>
          <w:b/>
          <w:bCs/>
          <w:color w:val="auto"/>
          <w:sz w:val="32"/>
          <w:szCs w:val="32"/>
          <w:lang w:eastAsia="zh-CN"/>
        </w:rPr>
        <w:t>产业园</w:t>
      </w:r>
      <w:r>
        <w:rPr>
          <w:rFonts w:hint="eastAsia" w:ascii="Times New Roman" w:hAnsi="Times New Roman" w:eastAsia="仿宋_GB2312" w:cs="仿宋"/>
          <w:b/>
          <w:bCs/>
          <w:color w:val="auto"/>
          <w:sz w:val="32"/>
          <w:szCs w:val="32"/>
          <w:lang w:val="en-US" w:eastAsia="zh-CN"/>
        </w:rPr>
        <w:t>管理模式</w:t>
      </w:r>
      <w:r>
        <w:rPr>
          <w:rFonts w:hint="eastAsia" w:ascii="Times New Roman" w:hAnsi="Times New Roman" w:eastAsia="仿宋_GB2312" w:cs="仿宋"/>
          <w:b/>
          <w:bCs/>
          <w:color w:val="auto"/>
          <w:sz w:val="32"/>
          <w:szCs w:val="32"/>
        </w:rPr>
        <w:t>。</w:t>
      </w:r>
      <w:r>
        <w:rPr>
          <w:rFonts w:hint="eastAsia" w:ascii="Times New Roman" w:hAnsi="Times New Roman" w:eastAsia="仿宋_GB2312" w:cs="仿宋"/>
          <w:b w:val="0"/>
          <w:bCs w:val="0"/>
          <w:color w:val="auto"/>
          <w:sz w:val="32"/>
          <w:szCs w:val="32"/>
          <w:lang w:eastAsia="zh-CN"/>
        </w:rPr>
        <w:t>明确</w:t>
      </w:r>
      <w:r>
        <w:rPr>
          <w:rFonts w:hint="eastAsia" w:ascii="Times New Roman" w:hAnsi="Times New Roman" w:eastAsia="仿宋_GB2312" w:cs="仿宋_GB2312"/>
          <w:color w:val="auto"/>
          <w:sz w:val="32"/>
          <w:szCs w:val="32"/>
        </w:rPr>
        <w:t>产业园</w:t>
      </w:r>
      <w:r>
        <w:rPr>
          <w:rFonts w:hint="eastAsia" w:ascii="Times New Roman" w:hAnsi="Times New Roman" w:eastAsia="仿宋_GB2312" w:cs="仿宋_GB2312"/>
          <w:color w:val="auto"/>
          <w:sz w:val="32"/>
          <w:szCs w:val="32"/>
          <w:lang w:eastAsia="zh-CN"/>
        </w:rPr>
        <w:t>其重大建设事项</w:t>
      </w:r>
      <w:r>
        <w:rPr>
          <w:rFonts w:hint="eastAsia" w:ascii="Times New Roman" w:hAnsi="Times New Roman" w:eastAsia="仿宋_GB2312" w:cs="仿宋_GB2312"/>
          <w:color w:val="auto"/>
          <w:sz w:val="32"/>
          <w:szCs w:val="32"/>
        </w:rPr>
        <w:t>由市人力资源服务产业园建设</w:t>
      </w:r>
      <w:r>
        <w:rPr>
          <w:rFonts w:hint="eastAsia" w:ascii="Times New Roman" w:hAnsi="Times New Roman" w:eastAsia="仿宋_GB2312" w:cs="仿宋_GB2312"/>
          <w:color w:val="auto"/>
          <w:sz w:val="32"/>
          <w:szCs w:val="32"/>
          <w:lang w:eastAsia="zh-CN"/>
        </w:rPr>
        <w:t>工作</w:t>
      </w:r>
      <w:r>
        <w:rPr>
          <w:rFonts w:hint="eastAsia" w:ascii="Times New Roman" w:hAnsi="Times New Roman" w:eastAsia="仿宋_GB2312" w:cs="仿宋_GB2312"/>
          <w:color w:val="auto"/>
          <w:sz w:val="32"/>
          <w:szCs w:val="32"/>
        </w:rPr>
        <w:t>领导小组</w:t>
      </w:r>
      <w:r>
        <w:rPr>
          <w:rFonts w:hint="eastAsia" w:ascii="Times New Roman" w:hAnsi="Times New Roman" w:eastAsia="仿宋_GB2312" w:cs="仿宋_GB2312"/>
          <w:color w:val="auto"/>
          <w:sz w:val="32"/>
          <w:szCs w:val="32"/>
          <w:lang w:eastAsia="zh-CN"/>
        </w:rPr>
        <w:t>研究决定，主要包括：关于产业园的政策制定、修改，产业园建设、发展模式，申报其他国家级别资质、项目、资金等工作</w:t>
      </w:r>
      <w:r>
        <w:rPr>
          <w:rFonts w:hint="eastAsia" w:ascii="Times New Roman" w:hAnsi="Times New Roman" w:eastAsia="仿宋_GB2312" w:cs="仿宋_GB2312"/>
          <w:color w:val="auto"/>
          <w:sz w:val="32"/>
          <w:szCs w:val="32"/>
          <w:lang w:val="en-US" w:eastAsia="zh-CN"/>
        </w:rPr>
        <w:t>；</w:t>
      </w:r>
      <w:r>
        <w:rPr>
          <w:rFonts w:hint="eastAsia" w:ascii="Times New Roman" w:hAnsi="Times New Roman" w:eastAsia="仿宋_GB2312" w:cs="仿宋_GB2312"/>
          <w:color w:val="auto"/>
          <w:sz w:val="32"/>
          <w:szCs w:val="32"/>
          <w:lang w:eastAsia="zh-CN"/>
        </w:rPr>
        <w:t>市人力资源社会保障局</w:t>
      </w:r>
      <w:r>
        <w:rPr>
          <w:rFonts w:hint="eastAsia" w:ascii="Times New Roman" w:hAnsi="Times New Roman" w:eastAsia="仿宋_GB2312" w:cs="仿宋_GB2312"/>
          <w:color w:val="auto"/>
          <w:sz w:val="32"/>
          <w:szCs w:val="32"/>
          <w:lang w:val="en-US" w:eastAsia="zh-CN"/>
        </w:rPr>
        <w:t>负责业务指导和考核等管理工作，主要包括：成立产业园日常管理工作领导小组，对产业园业务进行指导、考核（包括指标完成、规范运行等情况）；</w:t>
      </w:r>
      <w:r>
        <w:rPr>
          <w:rFonts w:hint="eastAsia" w:ascii="Times New Roman" w:hAnsi="Times New Roman" w:eastAsia="仿宋_GB2312" w:cs="仿宋_GB2312"/>
          <w:color w:val="auto"/>
          <w:sz w:val="32"/>
          <w:szCs w:val="32"/>
        </w:rPr>
        <w:t>市场化机构</w:t>
      </w:r>
      <w:r>
        <w:rPr>
          <w:rFonts w:hint="eastAsia" w:ascii="Times New Roman" w:hAnsi="Times New Roman" w:eastAsia="仿宋_GB2312" w:cs="仿宋_GB2312"/>
          <w:color w:val="auto"/>
          <w:sz w:val="32"/>
          <w:szCs w:val="32"/>
          <w:lang w:val="en-US" w:eastAsia="zh-CN"/>
        </w:rPr>
        <w:t>负责产业园运营，具备效率更高、活力更足、业务开展灵活高效、资源配置作用明显的优势和特点。</w:t>
      </w:r>
    </w:p>
    <w:p>
      <w:pPr>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s="仿宋_GB2312"/>
          <w:color w:val="auto"/>
          <w:kern w:val="2"/>
          <w:sz w:val="32"/>
          <w:szCs w:val="32"/>
          <w:lang w:val="en-US" w:eastAsia="zh-CN" w:bidi="ar-SA"/>
        </w:rPr>
      </w:pPr>
      <w:r>
        <w:rPr>
          <w:rFonts w:hint="eastAsia" w:ascii="Times New Roman" w:hAnsi="Times New Roman" w:eastAsia="仿宋_GB2312" w:cs="仿宋_GB2312"/>
          <w:b/>
          <w:bCs/>
          <w:color w:val="auto"/>
          <w:sz w:val="32"/>
          <w:szCs w:val="32"/>
          <w:lang w:eastAsia="zh-CN"/>
        </w:rPr>
        <w:t>二是</w:t>
      </w:r>
      <w:r>
        <w:rPr>
          <w:rFonts w:hint="eastAsia" w:ascii="Times New Roman" w:hAnsi="Times New Roman" w:eastAsia="仿宋_GB2312" w:cs="仿宋_GB2312"/>
          <w:b/>
          <w:bCs/>
          <w:color w:val="auto"/>
          <w:sz w:val="32"/>
          <w:szCs w:val="32"/>
        </w:rPr>
        <w:t>扩大产业园建设规模。</w:t>
      </w:r>
      <w:r>
        <w:rPr>
          <w:rFonts w:hint="eastAsia" w:ascii="Times New Roman" w:hAnsi="Times New Roman" w:eastAsia="仿宋_GB2312" w:cs="仿宋_GB2312"/>
          <w:color w:val="auto"/>
          <w:sz w:val="32"/>
          <w:szCs w:val="32"/>
          <w:lang w:val="en-US" w:eastAsia="zh-CN"/>
        </w:rPr>
        <w:t>鼓励各县区延伸建设服务站（点），</w:t>
      </w:r>
      <w:r>
        <w:rPr>
          <w:rFonts w:hint="eastAsia" w:ascii="Times New Roman" w:hAnsi="Times New Roman" w:eastAsia="仿宋_GB2312" w:cs="仿宋_GB2312"/>
          <w:color w:val="auto"/>
          <w:kern w:val="2"/>
          <w:sz w:val="32"/>
          <w:szCs w:val="32"/>
          <w:lang w:val="en-US" w:eastAsia="zh-CN" w:bidi="ar-SA"/>
        </w:rPr>
        <w:t>“</w:t>
      </w:r>
      <w:r>
        <w:rPr>
          <w:rFonts w:hint="eastAsia" w:ascii="Times New Roman" w:hAnsi="Times New Roman" w:eastAsia="仿宋_GB2312" w:cs="仿宋_GB2312"/>
          <w:color w:val="auto"/>
          <w:sz w:val="32"/>
          <w:szCs w:val="32"/>
          <w:lang w:val="en-US" w:eastAsia="zh-CN"/>
        </w:rPr>
        <w:t>三区多站点”由所在县（区）政府负责管理，入驻企业由产业园运营机构统一服务，将入驻企业数据纳入产业园业绩数据进行统计，实际收益归县（区）所有。</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ascii="Times New Roman" w:hAnsi="Times New Roman" w:eastAsia="仿宋_GB2312" w:cs="仿宋_GB2312"/>
          <w:color w:val="auto"/>
          <w:sz w:val="32"/>
          <w:szCs w:val="32"/>
        </w:rPr>
      </w:pPr>
      <w:r>
        <w:rPr>
          <w:rFonts w:hint="eastAsia" w:ascii="Times New Roman" w:hAnsi="Times New Roman" w:eastAsia="楷体" w:cs="楷体"/>
          <w:b/>
          <w:bCs/>
          <w:color w:val="auto"/>
          <w:sz w:val="32"/>
          <w:szCs w:val="32"/>
          <w:lang w:eastAsia="zh-CN"/>
        </w:rPr>
        <w:t>三是</w:t>
      </w:r>
      <w:r>
        <w:rPr>
          <w:rFonts w:hint="eastAsia" w:ascii="Times New Roman" w:hAnsi="Times New Roman" w:eastAsia="仿宋_GB2312" w:cs="仿宋"/>
          <w:b/>
          <w:bCs/>
          <w:color w:val="auto"/>
          <w:sz w:val="32"/>
          <w:szCs w:val="32"/>
        </w:rPr>
        <w:t>安排专项发展资金。</w:t>
      </w:r>
      <w:r>
        <w:rPr>
          <w:rFonts w:hint="eastAsia" w:ascii="Times New Roman" w:hAnsi="Times New Roman" w:eastAsia="仿宋_GB2312" w:cs="仿宋_GB2312"/>
          <w:color w:val="auto"/>
          <w:sz w:val="32"/>
          <w:szCs w:val="32"/>
        </w:rPr>
        <w:t>2</w:t>
      </w:r>
      <w:r>
        <w:rPr>
          <w:rFonts w:ascii="Times New Roman" w:hAnsi="Times New Roman" w:eastAsia="仿宋_GB2312" w:cs="仿宋_GB2312"/>
          <w:color w:val="auto"/>
          <w:sz w:val="32"/>
          <w:szCs w:val="32"/>
        </w:rPr>
        <w:t>024</w:t>
      </w:r>
      <w:r>
        <w:rPr>
          <w:rFonts w:hint="eastAsia" w:ascii="Times New Roman" w:hAnsi="Times New Roman" w:eastAsia="仿宋_GB2312" w:cs="仿宋_GB2312"/>
          <w:color w:val="auto"/>
          <w:sz w:val="32"/>
          <w:szCs w:val="32"/>
        </w:rPr>
        <w:t>年-</w:t>
      </w:r>
      <w:r>
        <w:rPr>
          <w:rFonts w:ascii="Times New Roman" w:hAnsi="Times New Roman" w:eastAsia="仿宋_GB2312" w:cs="仿宋_GB2312"/>
          <w:color w:val="auto"/>
          <w:sz w:val="32"/>
          <w:szCs w:val="32"/>
        </w:rPr>
        <w:t>2026</w:t>
      </w:r>
      <w:r>
        <w:rPr>
          <w:rFonts w:hint="eastAsia" w:ascii="Times New Roman" w:hAnsi="Times New Roman" w:eastAsia="仿宋_GB2312" w:cs="仿宋_GB2312"/>
          <w:color w:val="auto"/>
          <w:sz w:val="32"/>
          <w:szCs w:val="32"/>
        </w:rPr>
        <w:t>年，市本级财政每年安排</w:t>
      </w:r>
      <w:r>
        <w:rPr>
          <w:rFonts w:hint="eastAsia" w:ascii="Times New Roman" w:hAnsi="Times New Roman" w:eastAsia="仿宋_GB2312" w:cs="仿宋_GB2312"/>
          <w:color w:val="auto"/>
          <w:sz w:val="32"/>
          <w:szCs w:val="32"/>
          <w:lang w:val="en-US" w:eastAsia="zh-CN"/>
        </w:rPr>
        <w:t>3</w:t>
      </w:r>
      <w:r>
        <w:rPr>
          <w:rFonts w:hint="eastAsia" w:ascii="Times New Roman" w:hAnsi="Times New Roman" w:eastAsia="仿宋_GB2312" w:cs="仿宋_GB2312"/>
          <w:color w:val="auto"/>
          <w:sz w:val="32"/>
          <w:szCs w:val="32"/>
        </w:rPr>
        <w:t>00万元的</w:t>
      </w:r>
      <w:r>
        <w:rPr>
          <w:rFonts w:hint="eastAsia" w:ascii="Times New Roman" w:hAnsi="Times New Roman" w:eastAsia="仿宋_GB2312" w:cs="仿宋_GB2312"/>
          <w:color w:val="auto"/>
          <w:sz w:val="32"/>
          <w:szCs w:val="32"/>
          <w:lang w:val="en-US" w:eastAsia="zh-CN"/>
        </w:rPr>
        <w:t>国家级</w:t>
      </w:r>
      <w:r>
        <w:rPr>
          <w:rFonts w:hint="eastAsia" w:ascii="Times New Roman" w:hAnsi="Times New Roman" w:eastAsia="仿宋_GB2312" w:cs="仿宋_GB2312"/>
          <w:color w:val="auto"/>
          <w:sz w:val="32"/>
          <w:szCs w:val="32"/>
        </w:rPr>
        <w:t>产业园专项发展资金，其中</w:t>
      </w:r>
      <w:r>
        <w:rPr>
          <w:rFonts w:hint="eastAsia" w:ascii="Times New Roman" w:hAnsi="Times New Roman" w:eastAsia="仿宋_GB2312" w:cs="仿宋_GB2312"/>
          <w:color w:val="auto"/>
          <w:sz w:val="32"/>
          <w:szCs w:val="32"/>
          <w:lang w:val="en-US" w:eastAsia="zh-CN"/>
        </w:rPr>
        <w:t>150万元用于本措施</w:t>
      </w:r>
      <w:r>
        <w:rPr>
          <w:rFonts w:hint="eastAsia" w:ascii="Times New Roman" w:hAnsi="Times New Roman" w:eastAsia="仿宋_GB2312" w:cs="仿宋"/>
          <w:b w:val="0"/>
          <w:bCs w:val="0"/>
          <w:color w:val="auto"/>
          <w:sz w:val="32"/>
          <w:szCs w:val="32"/>
        </w:rPr>
        <w:t>引进优质企业</w:t>
      </w:r>
      <w:r>
        <w:rPr>
          <w:rFonts w:hint="eastAsia" w:ascii="Times New Roman" w:hAnsi="Times New Roman" w:eastAsia="仿宋_GB2312" w:cs="仿宋"/>
          <w:b w:val="0"/>
          <w:bCs w:val="0"/>
          <w:color w:val="auto"/>
          <w:sz w:val="32"/>
          <w:szCs w:val="32"/>
          <w:lang w:eastAsia="zh-CN"/>
        </w:rPr>
        <w:t>、</w:t>
      </w:r>
      <w:r>
        <w:rPr>
          <w:rFonts w:hint="eastAsia" w:ascii="Times New Roman" w:hAnsi="Times New Roman" w:eastAsia="仿宋_GB2312" w:cs="仿宋"/>
          <w:b w:val="0"/>
          <w:bCs w:val="0"/>
          <w:color w:val="auto"/>
          <w:sz w:val="32"/>
          <w:szCs w:val="32"/>
        </w:rPr>
        <w:t>培育骨干企业</w:t>
      </w:r>
      <w:r>
        <w:rPr>
          <w:rFonts w:hint="eastAsia" w:ascii="Times New Roman" w:hAnsi="Times New Roman" w:eastAsia="仿宋_GB2312" w:cs="仿宋"/>
          <w:b w:val="0"/>
          <w:bCs w:val="0"/>
          <w:color w:val="auto"/>
          <w:sz w:val="32"/>
          <w:szCs w:val="32"/>
          <w:lang w:eastAsia="zh-CN"/>
        </w:rPr>
        <w:t>、</w:t>
      </w:r>
      <w:r>
        <w:rPr>
          <w:rFonts w:hint="eastAsia" w:ascii="Times New Roman" w:hAnsi="Times New Roman" w:eastAsia="仿宋_GB2312" w:cs="仿宋"/>
          <w:b w:val="0"/>
          <w:bCs w:val="0"/>
          <w:color w:val="auto"/>
          <w:sz w:val="32"/>
          <w:szCs w:val="32"/>
        </w:rPr>
        <w:t>经济贡献奖励</w:t>
      </w:r>
      <w:r>
        <w:rPr>
          <w:rFonts w:hint="eastAsia" w:ascii="Times New Roman" w:hAnsi="Times New Roman" w:eastAsia="仿宋_GB2312" w:cs="仿宋"/>
          <w:b w:val="0"/>
          <w:bCs w:val="0"/>
          <w:color w:val="auto"/>
          <w:sz w:val="32"/>
          <w:szCs w:val="32"/>
          <w:lang w:eastAsia="zh-CN"/>
        </w:rPr>
        <w:t>、</w:t>
      </w:r>
      <w:r>
        <w:rPr>
          <w:rFonts w:hint="eastAsia" w:ascii="Times New Roman" w:hAnsi="Times New Roman" w:eastAsia="仿宋_GB2312"/>
          <w:b w:val="0"/>
          <w:bCs w:val="0"/>
          <w:color w:val="auto"/>
          <w:sz w:val="32"/>
          <w:szCs w:val="32"/>
        </w:rPr>
        <w:t>引进人才补贴</w:t>
      </w:r>
      <w:r>
        <w:rPr>
          <w:rFonts w:hint="eastAsia" w:ascii="Times New Roman" w:hAnsi="Times New Roman" w:eastAsia="仿宋_GB2312"/>
          <w:b w:val="0"/>
          <w:bCs w:val="0"/>
          <w:color w:val="auto"/>
          <w:sz w:val="32"/>
          <w:szCs w:val="32"/>
          <w:lang w:val="en-US" w:eastAsia="zh-CN"/>
        </w:rPr>
        <w:t>4项</w:t>
      </w:r>
      <w:r>
        <w:rPr>
          <w:rFonts w:hint="eastAsia" w:ascii="Times New Roman" w:hAnsi="Times New Roman" w:eastAsia="仿宋_GB2312" w:cs="仿宋_GB2312"/>
          <w:color w:val="auto"/>
          <w:sz w:val="32"/>
          <w:szCs w:val="32"/>
          <w:lang w:val="en-US" w:eastAsia="zh-CN"/>
        </w:rPr>
        <w:t>政策兑现。另</w:t>
      </w:r>
      <w:r>
        <w:rPr>
          <w:rFonts w:hint="eastAsia" w:ascii="Times New Roman" w:hAnsi="Times New Roman" w:eastAsia="仿宋_GB2312" w:cs="仿宋_GB2312"/>
          <w:color w:val="auto"/>
          <w:sz w:val="32"/>
          <w:szCs w:val="32"/>
        </w:rPr>
        <w:t>150万元用于采购产业园运营外包服务</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lang w:val="en-US" w:eastAsia="zh-CN"/>
        </w:rPr>
        <w:t>包括130万元固定的运营经费补贴及20万元绩效考核奖励</w:t>
      </w:r>
      <w:r>
        <w:rPr>
          <w:rFonts w:hint="eastAsia" w:ascii="Times New Roman" w:hAnsi="Times New Roman" w:eastAsia="仿宋_GB2312" w:cs="仿宋_GB2312"/>
          <w:color w:val="auto"/>
          <w:sz w:val="32"/>
          <w:szCs w:val="32"/>
        </w:rPr>
        <w:t>。</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
          <w:b/>
          <w:bCs/>
          <w:color w:val="auto"/>
          <w:sz w:val="32"/>
          <w:szCs w:val="32"/>
          <w:lang w:eastAsia="zh-CN"/>
        </w:rPr>
        <w:t>四是</w:t>
      </w:r>
      <w:r>
        <w:rPr>
          <w:rFonts w:hint="eastAsia" w:ascii="Times New Roman" w:hAnsi="Times New Roman" w:eastAsia="仿宋_GB2312" w:cs="仿宋"/>
          <w:b/>
          <w:bCs/>
          <w:color w:val="auto"/>
          <w:sz w:val="32"/>
          <w:szCs w:val="32"/>
        </w:rPr>
        <w:t>引进优质企业。</w:t>
      </w:r>
      <w:r>
        <w:rPr>
          <w:rFonts w:hint="eastAsia" w:ascii="Times New Roman" w:hAnsi="Times New Roman" w:eastAsia="仿宋_GB2312" w:cs="仿宋"/>
          <w:b w:val="0"/>
          <w:bCs w:val="0"/>
          <w:color w:val="auto"/>
          <w:sz w:val="32"/>
          <w:szCs w:val="32"/>
          <w:lang w:eastAsia="zh-CN"/>
        </w:rPr>
        <w:t>鼓励</w:t>
      </w:r>
      <w:r>
        <w:rPr>
          <w:rFonts w:hint="eastAsia" w:ascii="Times New Roman" w:hAnsi="Times New Roman" w:eastAsia="仿宋_GB2312" w:cs="仿宋"/>
          <w:b w:val="0"/>
          <w:bCs w:val="0"/>
          <w:color w:val="auto"/>
          <w:kern w:val="0"/>
          <w:sz w:val="32"/>
          <w:szCs w:val="32"/>
          <w:lang w:val="en-US" w:bidi="zh-CN"/>
        </w:rPr>
        <w:t>招商</w:t>
      </w:r>
      <w:r>
        <w:rPr>
          <w:rFonts w:hint="eastAsia" w:ascii="Times New Roman" w:hAnsi="Times New Roman" w:eastAsia="仿宋_GB2312" w:cs="仿宋"/>
          <w:color w:val="auto"/>
          <w:kern w:val="0"/>
          <w:sz w:val="32"/>
          <w:szCs w:val="32"/>
          <w:lang w:val="en-US" w:bidi="zh-CN"/>
        </w:rPr>
        <w:t>团队（人）为产业园引进优质企业，</w:t>
      </w:r>
      <w:r>
        <w:rPr>
          <w:rFonts w:hint="eastAsia" w:ascii="Times New Roman" w:hAnsi="Times New Roman" w:eastAsia="仿宋_GB2312" w:cs="仿宋_GB2312"/>
          <w:color w:val="auto"/>
          <w:sz w:val="32"/>
          <w:szCs w:val="32"/>
          <w:lang w:val="en-US" w:eastAsia="zh-CN"/>
        </w:rPr>
        <w:t>对新</w:t>
      </w:r>
      <w:r>
        <w:rPr>
          <w:rFonts w:hint="eastAsia" w:ascii="Times New Roman" w:hAnsi="Times New Roman" w:eastAsia="仿宋_GB2312" w:cs="仿宋"/>
          <w:color w:val="auto"/>
          <w:kern w:val="0"/>
          <w:sz w:val="32"/>
          <w:szCs w:val="32"/>
          <w:lang w:val="en-US" w:bidi="zh-CN"/>
        </w:rPr>
        <w:t>引进的入园企业首次年纳税总额达到200万元以上的，一次性奖励招商团队（人）3万元，设每年</w:t>
      </w:r>
      <w:r>
        <w:rPr>
          <w:rFonts w:hint="eastAsia" w:ascii="Times New Roman" w:hAnsi="Times New Roman" w:eastAsia="仿宋_GB2312" w:cs="仿宋_GB2312"/>
          <w:color w:val="auto"/>
          <w:sz w:val="32"/>
          <w:szCs w:val="32"/>
          <w:lang w:val="en-US" w:eastAsia="zh-CN"/>
        </w:rPr>
        <w:t>奖励上限为30万元。</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lang w:eastAsia="zh-CN"/>
        </w:rPr>
        <w:t>五是</w:t>
      </w:r>
      <w:r>
        <w:rPr>
          <w:rFonts w:hint="eastAsia" w:ascii="Times New Roman" w:hAnsi="Times New Roman" w:eastAsia="仿宋_GB2312" w:cs="仿宋"/>
          <w:b/>
          <w:bCs/>
          <w:color w:val="auto"/>
          <w:sz w:val="32"/>
          <w:szCs w:val="32"/>
        </w:rPr>
        <w:t>培育骨干企业。</w:t>
      </w:r>
      <w:r>
        <w:rPr>
          <w:rFonts w:hint="eastAsia" w:ascii="Times New Roman" w:hAnsi="Times New Roman" w:eastAsia="仿宋_GB2312" w:cs="仿宋_GB2312"/>
          <w:color w:val="auto"/>
          <w:sz w:val="32"/>
          <w:szCs w:val="32"/>
          <w:lang w:val="en-US" w:eastAsia="zh-CN"/>
        </w:rPr>
        <w:t>鼓励入园企业快速、规范发展，入驻的人力资源服务机构，上规入统后稳定营业税收一年的，给予运营公司一次性奖励2万元/家，设奖励上限为20万元。开展入园</w:t>
      </w:r>
      <w:r>
        <w:rPr>
          <w:rFonts w:hint="eastAsia" w:ascii="Times New Roman" w:hAnsi="Times New Roman" w:eastAsia="仿宋_GB2312" w:cs="仿宋_GB2312"/>
          <w:color w:val="auto"/>
          <w:sz w:val="32"/>
          <w:szCs w:val="32"/>
        </w:rPr>
        <w:t>人力资源</w:t>
      </w:r>
      <w:r>
        <w:rPr>
          <w:rFonts w:hint="eastAsia" w:ascii="Times New Roman" w:hAnsi="Times New Roman" w:eastAsia="仿宋_GB2312" w:cs="仿宋_GB2312"/>
          <w:color w:val="auto"/>
          <w:sz w:val="32"/>
          <w:szCs w:val="32"/>
          <w:lang w:val="en-US" w:eastAsia="zh-CN"/>
        </w:rPr>
        <w:t>企业等级</w:t>
      </w:r>
      <w:r>
        <w:rPr>
          <w:rFonts w:hint="eastAsia" w:ascii="Times New Roman" w:hAnsi="Times New Roman" w:eastAsia="仿宋_GB2312" w:cs="仿宋_GB2312"/>
          <w:color w:val="auto"/>
          <w:sz w:val="32"/>
          <w:szCs w:val="32"/>
        </w:rPr>
        <w:t>评定工作，</w:t>
      </w:r>
      <w:r>
        <w:rPr>
          <w:rFonts w:hint="eastAsia" w:ascii="Times New Roman" w:hAnsi="Times New Roman" w:eastAsia="仿宋_GB2312" w:cs="仿宋_GB2312"/>
          <w:color w:val="auto"/>
          <w:sz w:val="32"/>
          <w:szCs w:val="32"/>
          <w:lang w:val="en-US" w:eastAsia="zh-CN"/>
        </w:rPr>
        <w:t>引导企业规范发展</w:t>
      </w:r>
      <w:r>
        <w:rPr>
          <w:rFonts w:hint="eastAsia" w:ascii="Times New Roman" w:hAnsi="Times New Roman" w:eastAsia="仿宋_GB2312" w:cs="仿宋_GB2312"/>
          <w:color w:val="auto"/>
          <w:sz w:val="32"/>
          <w:szCs w:val="32"/>
        </w:rPr>
        <w:t>。</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s="仿宋_GB2312"/>
          <w:color w:val="auto"/>
          <w:sz w:val="32"/>
          <w:szCs w:val="32"/>
        </w:rPr>
      </w:pPr>
      <w:r>
        <w:rPr>
          <w:rFonts w:hint="eastAsia" w:ascii="Times New Roman" w:hAnsi="Times New Roman" w:eastAsia="仿宋_GB2312" w:cs="仿宋_GB2312"/>
          <w:b/>
          <w:bCs/>
          <w:color w:val="auto"/>
          <w:sz w:val="32"/>
          <w:szCs w:val="32"/>
          <w:lang w:eastAsia="zh-CN"/>
        </w:rPr>
        <w:t>六是</w:t>
      </w:r>
      <w:r>
        <w:rPr>
          <w:rFonts w:hint="eastAsia" w:ascii="Times New Roman" w:hAnsi="Times New Roman" w:eastAsia="仿宋_GB2312" w:cs="仿宋_GB2312"/>
          <w:b/>
          <w:bCs/>
          <w:color w:val="auto"/>
          <w:sz w:val="32"/>
          <w:szCs w:val="32"/>
        </w:rPr>
        <w:t>培养行业人才。</w:t>
      </w:r>
      <w:r>
        <w:rPr>
          <w:rFonts w:hint="eastAsia" w:ascii="Times New Roman" w:hAnsi="Times New Roman" w:eastAsia="仿宋_GB2312" w:cs="仿宋_GB2312"/>
          <w:color w:val="auto"/>
          <w:sz w:val="32"/>
          <w:szCs w:val="32"/>
          <w:lang w:val="en-US" w:eastAsia="zh-CN"/>
        </w:rPr>
        <w:t>在“龙城之光”人才培养计划、企业家培育工程等项目中，开设专项班，培训入园的人力资源服务企业管理人员。</w:t>
      </w:r>
    </w:p>
    <w:p>
      <w:pPr>
        <w:pStyle w:val="10"/>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lang w:eastAsia="zh-CN"/>
        </w:rPr>
        <w:t>七是</w:t>
      </w:r>
      <w:r>
        <w:rPr>
          <w:rFonts w:hint="eastAsia" w:ascii="Times New Roman" w:hAnsi="Times New Roman" w:eastAsia="仿宋_GB2312" w:cs="仿宋"/>
          <w:b/>
          <w:bCs/>
          <w:color w:val="auto"/>
          <w:sz w:val="32"/>
          <w:szCs w:val="32"/>
        </w:rPr>
        <w:t>经济贡献奖励。</w:t>
      </w:r>
      <w:r>
        <w:rPr>
          <w:rFonts w:hint="eastAsia" w:ascii="Times New Roman" w:hAnsi="Times New Roman" w:eastAsia="仿宋_GB2312" w:cs="仿宋"/>
          <w:b w:val="0"/>
          <w:bCs w:val="0"/>
          <w:color w:val="auto"/>
          <w:sz w:val="32"/>
          <w:szCs w:val="32"/>
          <w:lang w:val="en-US" w:eastAsia="zh-CN"/>
        </w:rPr>
        <w:t>鼓励园区企业创收，对入驻产业园的人力资源服务机构年主营业收入达到不</w:t>
      </w:r>
      <w:bookmarkStart w:id="0" w:name="_GoBack"/>
      <w:bookmarkEnd w:id="0"/>
      <w:r>
        <w:rPr>
          <w:rFonts w:hint="eastAsia" w:ascii="Times New Roman" w:hAnsi="Times New Roman" w:eastAsia="仿宋_GB2312" w:cs="仿宋"/>
          <w:b w:val="0"/>
          <w:bCs w:val="0"/>
          <w:color w:val="auto"/>
          <w:sz w:val="32"/>
          <w:szCs w:val="32"/>
          <w:lang w:val="en-US" w:eastAsia="zh-CN"/>
        </w:rPr>
        <w:t>同标准（以2000万元、5000万元、1亿元、5亿元、10亿元、30亿元营收值划分标准区段）的，给予5万元至50万元不同档次奖励。</w:t>
      </w:r>
    </w:p>
    <w:p>
      <w:pPr>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ascii="Times New Roman" w:hAnsi="Times New Roman" w:eastAsia="仿宋_GB2312"/>
          <w:color w:val="auto"/>
          <w:sz w:val="32"/>
          <w:szCs w:val="32"/>
        </w:rPr>
      </w:pPr>
      <w:r>
        <w:rPr>
          <w:rFonts w:hint="eastAsia" w:ascii="Times New Roman" w:hAnsi="Times New Roman" w:eastAsia="仿宋_GB2312"/>
          <w:b/>
          <w:bCs/>
          <w:color w:val="auto"/>
          <w:sz w:val="32"/>
          <w:szCs w:val="32"/>
          <w:lang w:eastAsia="zh-CN"/>
        </w:rPr>
        <w:t>八是</w:t>
      </w:r>
      <w:r>
        <w:rPr>
          <w:rFonts w:hint="eastAsia" w:ascii="Times New Roman" w:hAnsi="Times New Roman" w:eastAsia="仿宋_GB2312"/>
          <w:b/>
          <w:bCs/>
          <w:color w:val="auto"/>
          <w:sz w:val="32"/>
          <w:szCs w:val="32"/>
        </w:rPr>
        <w:t>引进人才补贴。</w:t>
      </w:r>
      <w:r>
        <w:rPr>
          <w:rFonts w:hint="eastAsia" w:ascii="Times New Roman" w:hAnsi="Times New Roman" w:eastAsia="仿宋_GB2312"/>
          <w:color w:val="auto"/>
          <w:sz w:val="32"/>
          <w:szCs w:val="32"/>
        </w:rPr>
        <w:t>鼓励园区企业推荐引进各类优秀人才落户柳州创业就业</w:t>
      </w:r>
      <w:r>
        <w:rPr>
          <w:rFonts w:hint="eastAsia" w:ascii="Times New Roman" w:hAnsi="Times New Roman" w:eastAsia="仿宋_GB2312"/>
          <w:color w:val="auto"/>
          <w:sz w:val="32"/>
          <w:szCs w:val="32"/>
          <w:lang w:eastAsia="zh-CN"/>
        </w:rPr>
        <w:t>，根据《柳州市进一步加强新时代人才集聚更大力度推动产业高质量发展的若干措施》（柳发</w:t>
      </w:r>
      <w:r>
        <w:rPr>
          <w:rFonts w:hint="eastAsia" w:ascii="Times New Roman" w:hAnsi="Times New Roman" w:eastAsia="仿宋_GB2312" w:cs="仿宋_GB2312"/>
          <w:color w:val="auto"/>
          <w:sz w:val="32"/>
          <w:szCs w:val="32"/>
        </w:rPr>
        <w:t>〔202</w:t>
      </w:r>
      <w:r>
        <w:rPr>
          <w:rFonts w:hint="eastAsia" w:ascii="Times New Roman" w:hAnsi="Times New Roman" w:eastAsia="仿宋_GB2312" w:cs="仿宋_GB2312"/>
          <w:color w:val="auto"/>
          <w:sz w:val="32"/>
          <w:szCs w:val="32"/>
          <w:lang w:val="en-US" w:eastAsia="zh-CN"/>
        </w:rPr>
        <w:t>2</w:t>
      </w:r>
      <w:r>
        <w:rPr>
          <w:rFonts w:hint="eastAsia" w:ascii="Times New Roman" w:hAnsi="Times New Roman" w:eastAsia="仿宋_GB2312" w:cs="仿宋_GB2312"/>
          <w:color w:val="auto"/>
          <w:sz w:val="32"/>
          <w:szCs w:val="32"/>
        </w:rPr>
        <w:t>〕</w:t>
      </w:r>
      <w:r>
        <w:rPr>
          <w:rFonts w:hint="eastAsia" w:ascii="Times New Roman" w:hAnsi="Times New Roman" w:eastAsia="仿宋_GB2312" w:cs="仿宋_GB2312"/>
          <w:color w:val="auto"/>
          <w:sz w:val="32"/>
          <w:szCs w:val="32"/>
          <w:lang w:val="en-US" w:eastAsia="zh-CN"/>
        </w:rPr>
        <w:t>7</w:t>
      </w:r>
      <w:r>
        <w:rPr>
          <w:rFonts w:hint="eastAsia" w:ascii="Times New Roman" w:hAnsi="Times New Roman" w:eastAsia="仿宋_GB2312" w:cs="仿宋_GB2312"/>
          <w:color w:val="auto"/>
          <w:sz w:val="32"/>
          <w:szCs w:val="32"/>
        </w:rPr>
        <w:t>号</w:t>
      </w:r>
      <w:r>
        <w:rPr>
          <w:rFonts w:hint="eastAsia" w:ascii="Times New Roman" w:hAnsi="Times New Roman" w:eastAsia="仿宋_GB2312"/>
          <w:color w:val="auto"/>
          <w:sz w:val="32"/>
          <w:szCs w:val="32"/>
          <w:lang w:eastAsia="zh-CN"/>
        </w:rPr>
        <w:t>）文件精神给予奖励。</w:t>
      </w:r>
    </w:p>
    <w:p>
      <w:pPr>
        <w:keepNext w:val="0"/>
        <w:keepLines w:val="0"/>
        <w:pageBreakBefore w:val="0"/>
        <w:widowControl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olor w:val="auto"/>
          <w:sz w:val="32"/>
          <w:szCs w:val="32"/>
          <w:lang w:eastAsia="zh-CN"/>
        </w:rPr>
      </w:pPr>
      <w:r>
        <w:rPr>
          <w:rFonts w:hint="eastAsia" w:ascii="Times New Roman" w:hAnsi="Times New Roman" w:eastAsia="仿宋_GB2312"/>
          <w:b/>
          <w:bCs/>
          <w:color w:val="auto"/>
          <w:sz w:val="32"/>
          <w:szCs w:val="32"/>
          <w:lang w:eastAsia="zh-CN"/>
        </w:rPr>
        <w:t>九是用工输送奖励。</w:t>
      </w:r>
      <w:r>
        <w:rPr>
          <w:rFonts w:hint="eastAsia" w:ascii="Times New Roman" w:hAnsi="Times New Roman" w:eastAsia="仿宋_GB2312"/>
          <w:color w:val="auto"/>
          <w:sz w:val="32"/>
          <w:szCs w:val="32"/>
          <w:lang w:val="en-US" w:eastAsia="zh-CN"/>
        </w:rPr>
        <w:t>鼓励园区企业为柳州市重点企业、市级以上重点项目、各县（区）规上入统企业输送务工人员，解决本地企业（项目）用工难题，按《关于做好人力资源服务补助发放工作的通知》（柳人社规〔2022〕2号）文件有关规定，给与补助。</w:t>
      </w:r>
    </w:p>
    <w:p>
      <w:pPr>
        <w:keepNext w:val="0"/>
        <w:keepLines w:val="0"/>
        <w:pageBreakBefore w:val="0"/>
        <w:kinsoku/>
        <w:wordWrap/>
        <w:overflowPunct/>
        <w:topLinePunct w:val="0"/>
        <w:autoSpaceDE/>
        <w:autoSpaceDN/>
        <w:bidi w:val="0"/>
        <w:adjustRightInd/>
        <w:snapToGrid/>
        <w:spacing w:line="560" w:lineRule="exact"/>
        <w:ind w:left="0" w:firstLine="642" w:firstLineChars="200"/>
        <w:jc w:val="left"/>
        <w:textAlignment w:val="auto"/>
        <w:rPr>
          <w:rFonts w:hint="eastAsia" w:ascii="Times New Roman" w:hAnsi="Times New Roman" w:eastAsia="仿宋_GB2312"/>
          <w:color w:val="auto"/>
          <w:sz w:val="32"/>
          <w:szCs w:val="32"/>
        </w:rPr>
      </w:pPr>
      <w:r>
        <w:rPr>
          <w:rFonts w:hint="eastAsia" w:ascii="Times New Roman" w:hAnsi="Times New Roman" w:eastAsia="楷体_GB2312" w:cs="楷体_GB2312"/>
          <w:b/>
          <w:color w:val="000000"/>
          <w:sz w:val="32"/>
          <w:szCs w:val="32"/>
          <w:lang w:eastAsia="zh-CN"/>
        </w:rPr>
        <w:t>第三部分：明确实施期限。</w:t>
      </w:r>
      <w:r>
        <w:rPr>
          <w:rFonts w:hint="eastAsia" w:ascii="Times New Roman" w:hAnsi="Times New Roman" w:eastAsia="楷体_GB2312" w:cs="楷体_GB2312"/>
          <w:b w:val="0"/>
          <w:bCs/>
          <w:color w:val="000000"/>
          <w:sz w:val="32"/>
          <w:szCs w:val="32"/>
          <w:lang w:eastAsia="zh-CN"/>
        </w:rPr>
        <w:t>《措施》</w:t>
      </w:r>
      <w:r>
        <w:rPr>
          <w:rFonts w:hint="eastAsia" w:ascii="Times New Roman" w:hAnsi="Times New Roman" w:eastAsia="仿宋_GB2312"/>
          <w:color w:val="auto"/>
          <w:sz w:val="32"/>
          <w:szCs w:val="32"/>
        </w:rPr>
        <w:t>自</w:t>
      </w:r>
      <w:r>
        <w:rPr>
          <w:rFonts w:ascii="Times New Roman" w:hAnsi="Times New Roman" w:eastAsia="仿宋_GB2312"/>
          <w:color w:val="auto"/>
          <w:sz w:val="32"/>
          <w:szCs w:val="32"/>
        </w:rPr>
        <w:t>202</w:t>
      </w:r>
      <w:r>
        <w:rPr>
          <w:rFonts w:hint="eastAsia" w:ascii="Times New Roman" w:hAnsi="Times New Roman" w:eastAsia="仿宋_GB2312"/>
          <w:color w:val="auto"/>
          <w:sz w:val="32"/>
          <w:szCs w:val="32"/>
        </w:rPr>
        <w:t>4</w:t>
      </w:r>
      <w:r>
        <w:rPr>
          <w:rFonts w:ascii="Times New Roman" w:hAnsi="Times New Roman" w:eastAsia="仿宋_GB2312"/>
          <w:color w:val="auto"/>
          <w:sz w:val="32"/>
          <w:szCs w:val="32"/>
        </w:rPr>
        <w:t>年1月1日起实施，有效期至2026年12月31</w:t>
      </w:r>
      <w:r>
        <w:rPr>
          <w:rFonts w:hint="eastAsia" w:ascii="Times New Roman" w:hAnsi="Times New Roman" w:eastAsia="仿宋_GB2312"/>
          <w:color w:val="auto"/>
          <w:sz w:val="32"/>
          <w:szCs w:val="32"/>
        </w:rPr>
        <w:t>日</w:t>
      </w:r>
      <w:r>
        <w:rPr>
          <w:rFonts w:hint="eastAsia" w:ascii="Times New Roman" w:hAnsi="Times New Roman" w:eastAsia="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ascii="Times New Roman" w:hAnsi="Times New Roman" w:eastAsia="黑体"/>
          <w:color w:val="000000"/>
          <w:sz w:val="32"/>
          <w:szCs w:val="32"/>
        </w:rPr>
      </w:pPr>
      <w:r>
        <w:rPr>
          <w:rFonts w:ascii="Times New Roman" w:hAnsi="Times New Roman" w:eastAsia="黑体"/>
          <w:color w:val="000000"/>
          <w:sz w:val="32"/>
          <w:szCs w:val="32"/>
        </w:rPr>
        <w:t>五、政策创新点</w:t>
      </w:r>
    </w:p>
    <w:p>
      <w:pPr>
        <w:keepNext w:val="0"/>
        <w:keepLines w:val="0"/>
        <w:pageBreakBefore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仿宋_GB2312" w:cs="仿宋_GB2312"/>
          <w:color w:val="auto"/>
          <w:sz w:val="32"/>
          <w:szCs w:val="32"/>
          <w:lang w:eastAsia="zh-CN"/>
        </w:rPr>
      </w:pPr>
      <w:r>
        <w:rPr>
          <w:rFonts w:hint="eastAsia" w:ascii="Times New Roman" w:hAnsi="Times New Roman" w:eastAsia="楷体_GB2312" w:cs="楷体_GB2312"/>
          <w:color w:val="auto"/>
          <w:sz w:val="32"/>
          <w:szCs w:val="32"/>
          <w:lang w:val="en-US" w:eastAsia="zh-CN"/>
        </w:rPr>
        <w:t>（一）政策针对性强。</w:t>
      </w:r>
      <w:r>
        <w:rPr>
          <w:rFonts w:hint="eastAsia" w:ascii="Times New Roman" w:hAnsi="Times New Roman" w:eastAsia="仿宋_GB2312"/>
          <w:color w:val="auto"/>
          <w:sz w:val="32"/>
          <w:szCs w:val="32"/>
          <w:lang w:val="en-US" w:eastAsia="zh-CN"/>
        </w:rPr>
        <w:t>《措施》是针对国家级柳州人力资源服务产业园出台的首个规范性文件。目的就是通过在资金、业务、管理等方面的扶持政策，建设</w:t>
      </w:r>
      <w:r>
        <w:rPr>
          <w:rFonts w:hint="eastAsia" w:ascii="Times New Roman" w:hAnsi="Times New Roman" w:eastAsia="仿宋_GB2312" w:cs="仿宋_GB2312"/>
          <w:color w:val="auto"/>
          <w:sz w:val="32"/>
          <w:szCs w:val="32"/>
        </w:rPr>
        <w:t>有一定影响力的国家级人力资源服务产业园</w:t>
      </w:r>
      <w:r>
        <w:rPr>
          <w:rFonts w:hint="eastAsia" w:ascii="Times New Roman" w:hAnsi="Times New Roman" w:eastAsia="仿宋_GB2312" w:cs="仿宋_GB2312"/>
          <w:color w:val="auto"/>
          <w:sz w:val="32"/>
          <w:szCs w:val="32"/>
          <w:lang w:eastAsia="zh-CN"/>
        </w:rPr>
        <w:t>，促进柳州、广西经济社会高质量发展。</w:t>
      </w:r>
    </w:p>
    <w:p>
      <w:pPr>
        <w:pStyle w:val="2"/>
        <w:keepNext w:val="0"/>
        <w:keepLines w:val="0"/>
        <w:pageBreakBefore w:val="0"/>
        <w:kinsoku/>
        <w:wordWrap/>
        <w:overflowPunct/>
        <w:topLinePunct w:val="0"/>
        <w:autoSpaceDE/>
        <w:autoSpaceDN/>
        <w:bidi w:val="0"/>
        <w:adjustRightInd/>
        <w:snapToGrid/>
        <w:spacing w:after="0" w:line="560" w:lineRule="exact"/>
        <w:ind w:left="0" w:firstLine="640" w:firstLineChars="200"/>
        <w:jc w:val="left"/>
        <w:textAlignment w:val="auto"/>
        <w:rPr>
          <w:rFonts w:hint="eastAsia" w:ascii="Times New Roman" w:hAnsi="Times New Roman" w:cs="仿宋_GB2312"/>
          <w:color w:val="auto"/>
          <w:sz w:val="32"/>
          <w:szCs w:val="32"/>
          <w:lang w:eastAsia="zh-CN"/>
        </w:rPr>
      </w:pPr>
      <w:r>
        <w:rPr>
          <w:rFonts w:hint="eastAsia" w:ascii="Times New Roman" w:hAnsi="Times New Roman" w:eastAsia="楷体_GB2312" w:cs="楷体_GB2312"/>
          <w:color w:val="auto"/>
          <w:kern w:val="2"/>
          <w:sz w:val="32"/>
          <w:szCs w:val="32"/>
          <w:lang w:val="en-US" w:eastAsia="zh-CN" w:bidi="ar-SA"/>
        </w:rPr>
        <w:t>（二）政策实用性强。</w:t>
      </w:r>
      <w:r>
        <w:rPr>
          <w:rFonts w:hint="eastAsia" w:ascii="Times New Roman" w:hAnsi="Times New Roman" w:cs="仿宋_GB2312"/>
          <w:color w:val="auto"/>
          <w:sz w:val="32"/>
          <w:szCs w:val="32"/>
          <w:lang w:eastAsia="zh-CN"/>
        </w:rPr>
        <w:t>一是优化拓展产业园功能布局，按“一园三区多站点”的模式建设，能快速有效扩大产业园集聚效应和业务规模。二是安排</w:t>
      </w:r>
      <w:r>
        <w:rPr>
          <w:rFonts w:hint="eastAsia" w:ascii="Times New Roman" w:hAnsi="Times New Roman" w:cs="仿宋_GB2312"/>
          <w:color w:val="auto"/>
          <w:sz w:val="32"/>
          <w:szCs w:val="32"/>
          <w:lang w:val="en-US" w:eastAsia="zh-CN"/>
        </w:rPr>
        <w:t>300万元</w:t>
      </w:r>
      <w:r>
        <w:rPr>
          <w:rFonts w:hint="eastAsia" w:ascii="Times New Roman" w:hAnsi="Times New Roman" w:cs="仿宋_GB2312"/>
          <w:color w:val="auto"/>
          <w:sz w:val="32"/>
          <w:szCs w:val="32"/>
          <w:lang w:eastAsia="zh-CN"/>
        </w:rPr>
        <w:t>专项发展资金，能有效激励和扶持产业园运营机构及入驻企业开展业务。三是对引进、培育优质企业和人才有较大的促进作用。</w:t>
      </w:r>
    </w:p>
    <w:p>
      <w:pPr>
        <w:pStyle w:val="2"/>
        <w:keepNext w:val="0"/>
        <w:keepLines w:val="0"/>
        <w:pageBreakBefore w:val="0"/>
        <w:kinsoku/>
        <w:wordWrap/>
        <w:overflowPunct/>
        <w:topLinePunct w:val="0"/>
        <w:autoSpaceDE/>
        <w:autoSpaceDN/>
        <w:bidi w:val="0"/>
        <w:adjustRightInd/>
        <w:snapToGrid/>
        <w:spacing w:after="0" w:line="560" w:lineRule="exact"/>
        <w:ind w:left="0" w:firstLine="640" w:firstLineChars="200"/>
        <w:jc w:val="left"/>
        <w:textAlignment w:val="auto"/>
        <w:rPr>
          <w:rFonts w:hint="eastAsia" w:ascii="Times New Roman" w:hAnsi="Times New Roman" w:cs="仿宋_GB2312"/>
          <w:color w:val="auto"/>
          <w:sz w:val="32"/>
          <w:szCs w:val="32"/>
          <w:lang w:val="en-US" w:eastAsia="zh-CN"/>
        </w:rPr>
      </w:pPr>
      <w:r>
        <w:rPr>
          <w:rFonts w:hint="eastAsia" w:ascii="Times New Roman" w:hAnsi="Times New Roman" w:eastAsia="楷体_GB2312" w:cs="楷体_GB2312"/>
          <w:color w:val="auto"/>
          <w:kern w:val="2"/>
          <w:sz w:val="32"/>
          <w:szCs w:val="32"/>
          <w:lang w:val="en-US" w:eastAsia="zh-CN" w:bidi="ar-SA"/>
        </w:rPr>
        <w:t>（三）政策导向性强。</w:t>
      </w:r>
      <w:r>
        <w:rPr>
          <w:rFonts w:hint="eastAsia" w:ascii="Times New Roman" w:hAnsi="Times New Roman" w:cs="仿宋_GB2312"/>
          <w:color w:val="auto"/>
          <w:sz w:val="32"/>
          <w:szCs w:val="32"/>
          <w:lang w:val="en-US" w:eastAsia="zh-CN"/>
        </w:rPr>
        <w:t>一是鼓励我市各县区、城区发展人力资源服务业。二是鼓励引进的企业、入园企业、产业园运营机构规范经营努力创收。三是鼓励入园企业服务实体经济。</w:t>
      </w:r>
    </w:p>
    <w:p>
      <w:pPr>
        <w:pStyle w:val="2"/>
        <w:keepNext w:val="0"/>
        <w:keepLines w:val="0"/>
        <w:pageBreakBefore w:val="0"/>
        <w:kinsoku/>
        <w:wordWrap/>
        <w:overflowPunct/>
        <w:topLinePunct w:val="0"/>
        <w:autoSpaceDE/>
        <w:autoSpaceDN/>
        <w:bidi w:val="0"/>
        <w:adjustRightInd/>
        <w:snapToGrid/>
        <w:spacing w:after="0" w:line="560" w:lineRule="exact"/>
        <w:ind w:left="0" w:firstLine="640" w:firstLineChars="200"/>
        <w:jc w:val="left"/>
        <w:textAlignment w:val="auto"/>
        <w:rPr>
          <w:rFonts w:hint="eastAsia" w:ascii="Times New Roman" w:hAnsi="Times New Roman" w:cs="仿宋_GB2312"/>
          <w:color w:val="auto"/>
          <w:sz w:val="32"/>
          <w:szCs w:val="32"/>
          <w:lang w:val="en-US" w:eastAsia="zh-CN"/>
        </w:rPr>
      </w:pPr>
      <w:r>
        <w:rPr>
          <w:rFonts w:hint="eastAsia" w:ascii="Times New Roman" w:hAnsi="Times New Roman" w:eastAsia="楷体_GB2312" w:cs="楷体_GB2312"/>
          <w:color w:val="auto"/>
          <w:kern w:val="2"/>
          <w:sz w:val="32"/>
          <w:szCs w:val="32"/>
          <w:lang w:val="en-US" w:eastAsia="zh-CN" w:bidi="ar-SA"/>
        </w:rPr>
        <w:t>（四）政策操作性强。</w:t>
      </w:r>
      <w:r>
        <w:rPr>
          <w:rFonts w:hint="eastAsia" w:ascii="Times New Roman" w:hAnsi="Times New Roman" w:cs="仿宋_GB2312"/>
          <w:color w:val="auto"/>
          <w:sz w:val="32"/>
          <w:szCs w:val="32"/>
          <w:lang w:val="en-US" w:eastAsia="zh-CN"/>
        </w:rPr>
        <w:t>一是《措施》拟制，既考虑了政策实效性，又兼顾了市县两级财政承受能力。二是部分措施内容兼顾了已有政策内容，与既有政策不冲突、不重复、互补充。三是任务明确、分工合理，各项工作在各责任单位能力范围内。</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posOffset>2372995</wp:posOffset>
              </wp:positionH>
              <wp:positionV relativeFrom="paragraph">
                <wp:posOffset>-91440</wp:posOffset>
              </wp:positionV>
              <wp:extent cx="489585" cy="328295"/>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489585" cy="3282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square" lIns="0" tIns="0" rIns="0" bIns="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86.85pt;margin-top:-7.2pt;height:25.85pt;width:38.55pt;mso-position-horizontal-relative:margin;z-index:251658240;mso-width-relative:page;mso-height-relative:page;" filled="f" stroked="f" coordsize="21600,21600" o:gfxdata="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D5nrW71wAAAAoBAAAPAAAAAAAAAAEAIAAAADgAAABkcnMvZG93bnJl&#10;di54bWxQSwECFAAUAAAACACHTuJA8QY5DCECAAApBAAADgAAAAAAAAABACAAAAA8AQAAZHJzL2Uy&#10;b0RvYy54bWxQSwUGAAAAAAYABgBZAQAAzwUAAAAA&#10;">
              <v:fill on="f" focussize="0,0"/>
              <v:stroke on="f" weight="0.5pt"/>
              <v:imagedata o:title=""/>
              <o:lock v:ext="edit" aspectratio="f"/>
              <v:textbox inset="0mm,0mm,0mm,0mm">
                <w:txbxContent>
                  <w:p>
                    <w:pPr>
                      <w:pStyle w:val="6"/>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1F36C1"/>
    <w:rsid w:val="086B6521"/>
    <w:rsid w:val="0C217CF8"/>
    <w:rsid w:val="1C1F36C1"/>
    <w:rsid w:val="25B72AA2"/>
    <w:rsid w:val="2C7618DE"/>
    <w:rsid w:val="34161321"/>
    <w:rsid w:val="375A5414"/>
    <w:rsid w:val="3D283261"/>
    <w:rsid w:val="5F9E2AF1"/>
    <w:rsid w:val="600A4C6E"/>
    <w:rsid w:val="655242A5"/>
    <w:rsid w:val="6E42248A"/>
    <w:rsid w:val="715A5C0E"/>
    <w:rsid w:val="744265D7"/>
    <w:rsid w:val="78423AA7"/>
    <w:rsid w:val="7FF3FD96"/>
    <w:rsid w:val="AFB7D191"/>
    <w:rsid w:val="AFBB98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widowControl/>
      <w:spacing w:before="100" w:beforeLines="0" w:beforeAutospacing="1" w:after="100" w:afterLines="0" w:afterAutospacing="1"/>
      <w:jc w:val="left"/>
      <w:outlineLvl w:val="0"/>
    </w:pPr>
    <w:rPr>
      <w:rFonts w:ascii="宋体" w:eastAsia="宋体" w:cs="宋体"/>
      <w:b/>
      <w:bCs/>
      <w:kern w:val="36"/>
      <w:sz w:val="48"/>
      <w:szCs w:val="48"/>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rFonts w:ascii="Calibri" w:hAnsi="Calibri" w:eastAsia="仿宋_GB2312" w:cs="Times New Roman"/>
      <w:sz w:val="32"/>
      <w:szCs w:val="22"/>
    </w:rPr>
  </w:style>
  <w:style w:type="paragraph" w:styleId="3">
    <w:name w:val="Title"/>
    <w:basedOn w:val="1"/>
    <w:next w:val="1"/>
    <w:qFormat/>
    <w:uiPriority w:val="0"/>
    <w:pPr>
      <w:spacing w:before="240" w:beforeLines="0" w:after="60" w:afterLines="0"/>
      <w:jc w:val="center"/>
    </w:pPr>
    <w:rPr>
      <w:rFonts w:ascii="等线 Light" w:hAnsi="等线 Light" w:eastAsia="等线 Light"/>
      <w:b/>
      <w:bCs/>
      <w:kern w:val="0"/>
      <w:sz w:val="32"/>
      <w:szCs w:val="3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城中区</Company>
  <Pages>1</Pages>
  <Words>0</Words>
  <Characters>0</Characters>
  <Lines>0</Lines>
  <Paragraphs>0</Paragraphs>
  <TotalTime>5</TotalTime>
  <ScaleCrop>false</ScaleCrop>
  <LinksUpToDate>false</LinksUpToDate>
  <CharactersWithSpaces>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2023-11-19T16:00:00Z</dcterms:created>
  <dc:creator>lm</dc:creator>
  <cp:lastModifiedBy>gxxc</cp:lastModifiedBy>
  <cp:lastPrinted>2023-11-30T12:40:00Z</cp:lastPrinted>
  <dcterms:modified xsi:type="dcterms:W3CDTF">2024-01-10T09:22:07Z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