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Times New Roman" w:hAnsi="Times New Roman" w:eastAsia="方正小标宋简体" w:cs="方正小标宋简体"/>
          <w:color w:val="auto"/>
          <w:sz w:val="44"/>
          <w:szCs w:val="44"/>
          <w:shd w:val="clear" w:color="auto" w:fill="FFFFFF"/>
          <w:lang w:val="en-US" w:eastAsia="zh-CN"/>
        </w:rPr>
      </w:pPr>
      <w:r>
        <w:rPr>
          <w:rFonts w:hint="eastAsia" w:ascii="Times New Roman" w:hAnsi="Times New Roman" w:eastAsia="方正小标宋简体" w:cs="方正小标宋简体"/>
          <w:color w:val="auto"/>
          <w:sz w:val="44"/>
          <w:szCs w:val="44"/>
          <w:shd w:val="clear" w:color="auto" w:fill="FFFFFF"/>
        </w:rPr>
        <w:t>关于推进国家级柳州人力资源服务产业园</w:t>
      </w:r>
      <w:r>
        <w:rPr>
          <w:rFonts w:hint="eastAsia" w:ascii="Times New Roman" w:hAnsi="Times New Roman" w:eastAsia="方正小标宋简体" w:cs="方正小标宋简体"/>
          <w:color w:val="auto"/>
          <w:sz w:val="44"/>
          <w:szCs w:val="44"/>
          <w:shd w:val="clear" w:color="auto" w:fill="FFFFFF"/>
          <w:lang w:val="en-US" w:eastAsia="zh-CN"/>
        </w:rPr>
        <w:t>高质量</w:t>
      </w:r>
      <w:r>
        <w:rPr>
          <w:rFonts w:hint="eastAsia" w:ascii="Times New Roman" w:hAnsi="Times New Roman" w:eastAsia="方正小标宋简体" w:cs="方正小标宋简体"/>
          <w:color w:val="auto"/>
          <w:sz w:val="44"/>
          <w:szCs w:val="44"/>
          <w:shd w:val="clear" w:color="auto" w:fill="FFFFFF"/>
        </w:rPr>
        <w:t>发展</w:t>
      </w:r>
      <w:r>
        <w:rPr>
          <w:rFonts w:hint="eastAsia" w:ascii="Times New Roman" w:hAnsi="Times New Roman" w:eastAsia="方正小标宋简体" w:cs="方正小标宋简体"/>
          <w:color w:val="auto"/>
          <w:sz w:val="44"/>
          <w:szCs w:val="44"/>
          <w:shd w:val="clear" w:color="auto" w:fill="FFFFFF"/>
          <w:lang w:val="en-US" w:eastAsia="zh-CN"/>
        </w:rPr>
        <w:t>若干措施</w:t>
      </w:r>
    </w:p>
    <w:p>
      <w:pPr>
        <w:keepNext w:val="0"/>
        <w:keepLines w:val="0"/>
        <w:pageBreakBefore w:val="0"/>
        <w:widowControl w:val="0"/>
        <w:kinsoku/>
        <w:wordWrap/>
        <w:overflowPunct/>
        <w:topLinePunct w:val="0"/>
        <w:autoSpaceDE/>
        <w:autoSpaceDN/>
        <w:bidi w:val="0"/>
        <w:spacing w:line="560" w:lineRule="exact"/>
        <w:jc w:val="center"/>
        <w:textAlignment w:val="auto"/>
        <w:outlineLvl w:val="9"/>
        <w:rPr>
          <w:rFonts w:ascii="Times New Roman" w:hAnsi="Times New Roman"/>
          <w:color w:val="auto"/>
        </w:rPr>
      </w:pPr>
      <w:r>
        <w:rPr>
          <w:rFonts w:hint="eastAsia" w:ascii="Times New Roman" w:hAnsi="Times New Roman" w:eastAsia="楷体_GB2312" w:cs="楷体_GB2312"/>
          <w:color w:val="auto"/>
          <w:sz w:val="32"/>
          <w:szCs w:val="32"/>
          <w:shd w:val="clear" w:color="auto" w:fill="FFFFFF"/>
          <w:lang w:val="en-US" w:eastAsia="zh-CN"/>
        </w:rPr>
        <w:t>（第三稿）</w:t>
      </w:r>
    </w:p>
    <w:p>
      <w:pPr>
        <w:pStyle w:val="2"/>
        <w:keepNext w:val="0"/>
        <w:keepLines w:val="0"/>
        <w:pageBreakBefore w:val="0"/>
        <w:widowControl w:val="0"/>
        <w:kinsoku/>
        <w:wordWrap/>
        <w:overflowPunct/>
        <w:topLinePunct w:val="0"/>
        <w:autoSpaceDE/>
        <w:autoSpaceDN/>
        <w:bidi w:val="0"/>
        <w:spacing w:line="560" w:lineRule="exact"/>
        <w:ind w:firstLine="640" w:firstLineChars="200"/>
        <w:jc w:val="both"/>
        <w:textAlignment w:val="auto"/>
        <w:outlineLvl w:val="9"/>
        <w:rPr>
          <w:rFonts w:ascii="Times New Roman" w:hAnsi="Times New Roman" w:eastAsia="仿宋_GB2312" w:cs="仿宋"/>
          <w:color w:val="auto"/>
          <w:w w:val="95"/>
          <w:sz w:val="32"/>
          <w:szCs w:val="32"/>
        </w:rPr>
      </w:pPr>
      <w:r>
        <w:rPr>
          <w:rFonts w:hint="eastAsia" w:ascii="Times New Roman" w:hAnsi="Times New Roman" w:eastAsia="仿宋_GB2312" w:cs="仿宋_GB2312"/>
          <w:color w:val="auto"/>
          <w:sz w:val="32"/>
          <w:szCs w:val="32"/>
        </w:rPr>
        <w:t>为进一步建立完善的人力资源服务体系，加快推进国家级柳州人力资源服务产业园（以下简称“产业园”）建设，根据《人力资源社会保障部关于印发〈</w:t>
      </w:r>
      <w:r>
        <w:rPr>
          <w:rFonts w:hint="eastAsia" w:ascii="Times New Roman" w:hAnsi="Times New Roman" w:eastAsia="仿宋_GB2312" w:cs="仿宋_GB2312"/>
          <w:color w:val="auto"/>
          <w:sz w:val="32"/>
          <w:szCs w:val="32"/>
        </w:rPr>
        <w:fldChar w:fldCharType="begin"/>
      </w:r>
      <w:r>
        <w:rPr>
          <w:rFonts w:hint="eastAsia" w:ascii="Times New Roman" w:hAnsi="Times New Roman" w:eastAsia="仿宋_GB2312" w:cs="仿宋_GB2312"/>
          <w:color w:val="auto"/>
          <w:sz w:val="32"/>
          <w:szCs w:val="32"/>
        </w:rPr>
        <w:instrText xml:space="preserve"> HYPERLINK "https://www.waizi.org.cn/doc/114196.html" \t "_blank" \o "人社部发〔2019〕86号《人力资源社会保障部关于印发〈国家级人力资源服务产业园管理办法（试行）〉的通知》" </w:instrText>
      </w:r>
      <w:r>
        <w:rPr>
          <w:rFonts w:hint="eastAsia" w:ascii="Times New Roman" w:hAnsi="Times New Roman" w:eastAsia="仿宋_GB2312" w:cs="仿宋_GB2312"/>
          <w:color w:val="auto"/>
          <w:sz w:val="32"/>
          <w:szCs w:val="32"/>
        </w:rPr>
        <w:fldChar w:fldCharType="separate"/>
      </w:r>
      <w:r>
        <w:rPr>
          <w:rFonts w:hint="eastAsia" w:ascii="Times New Roman" w:hAnsi="Times New Roman" w:eastAsia="仿宋_GB2312" w:cs="仿宋_GB2312"/>
          <w:color w:val="auto"/>
          <w:sz w:val="32"/>
          <w:szCs w:val="32"/>
        </w:rPr>
        <w:t>国家级人力资源服务产业园管理办法（试行）</w:t>
      </w:r>
      <w:r>
        <w:rPr>
          <w:rFonts w:hint="eastAsia" w:ascii="Times New Roman" w:hAnsi="Times New Roman" w:eastAsia="仿宋_GB2312" w:cs="仿宋_GB2312"/>
          <w:color w:val="auto"/>
          <w:sz w:val="32"/>
          <w:szCs w:val="32"/>
        </w:rPr>
        <w:fldChar w:fldCharType="end"/>
      </w:r>
      <w:r>
        <w:rPr>
          <w:rFonts w:hint="eastAsia" w:ascii="Times New Roman" w:hAnsi="Times New Roman" w:eastAsia="仿宋_GB2312" w:cs="仿宋_GB2312"/>
          <w:color w:val="auto"/>
          <w:sz w:val="32"/>
          <w:szCs w:val="32"/>
        </w:rPr>
        <w:t>〉的通知》</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fldChar w:fldCharType="begin"/>
      </w:r>
      <w:r>
        <w:rPr>
          <w:rFonts w:hint="eastAsia" w:ascii="Times New Roman" w:hAnsi="Times New Roman" w:eastAsia="仿宋_GB2312" w:cs="仿宋_GB2312"/>
          <w:color w:val="auto"/>
          <w:sz w:val="32"/>
          <w:szCs w:val="32"/>
        </w:rPr>
        <w:instrText xml:space="preserve"> HYPERLINK "https://www.waizi.org.cn/doc/114196.html" \t "_blank" \o "人社部发〔2019〕86号《人力资源社会保障部关于印发〈国家级人力资源产业园管理办法（试行）〉的通知》" </w:instrText>
      </w:r>
      <w:r>
        <w:rPr>
          <w:rFonts w:hint="eastAsia" w:ascii="Times New Roman" w:hAnsi="Times New Roman" w:eastAsia="仿宋_GB2312" w:cs="仿宋_GB2312"/>
          <w:color w:val="auto"/>
          <w:sz w:val="32"/>
          <w:szCs w:val="32"/>
        </w:rPr>
        <w:fldChar w:fldCharType="separate"/>
      </w:r>
      <w:r>
        <w:rPr>
          <w:rFonts w:hint="eastAsia" w:ascii="Times New Roman" w:hAnsi="Times New Roman" w:eastAsia="仿宋_GB2312" w:cs="仿宋_GB2312"/>
          <w:color w:val="auto"/>
          <w:sz w:val="32"/>
          <w:szCs w:val="32"/>
        </w:rPr>
        <w:t>人社部发〔2019〕86号</w:t>
      </w:r>
      <w:r>
        <w:rPr>
          <w:rFonts w:hint="eastAsia" w:ascii="Times New Roman" w:hAnsi="Times New Roman" w:eastAsia="仿宋_GB2312" w:cs="仿宋_GB2312"/>
          <w:color w:val="auto"/>
          <w:sz w:val="32"/>
          <w:szCs w:val="32"/>
        </w:rPr>
        <w:fldChar w:fldCharType="end"/>
      </w:r>
      <w:r>
        <w:rPr>
          <w:rFonts w:hint="eastAsia" w:ascii="Times New Roman" w:hAnsi="Times New Roman" w:eastAsia="仿宋_GB2312" w:cs="仿宋_GB2312"/>
          <w:color w:val="auto"/>
          <w:sz w:val="32"/>
          <w:szCs w:val="32"/>
          <w:lang w:eastAsia="zh-CN"/>
        </w:rPr>
        <w:t>）</w:t>
      </w:r>
      <w:bookmarkStart w:id="0" w:name="_GoBack"/>
      <w:bookmarkEnd w:id="0"/>
      <w:r>
        <w:rPr>
          <w:rFonts w:hint="eastAsia" w:ascii="Times New Roman" w:hAnsi="Times New Roman" w:eastAsia="仿宋_GB2312" w:cs="仿宋_GB2312"/>
          <w:color w:val="auto"/>
          <w:sz w:val="32"/>
          <w:szCs w:val="32"/>
        </w:rPr>
        <w:t>、《人力资源社会保障部关于同意部区共建国家级柳州人力资源服务产业园的函》（人社部函〔2023〕39号）以及《广西壮族自治区人力资源和社会保障厅等7部门关于推进我区人力资源服务业高质量发展的实施意见》（桂人社发〔2022〕24号）等文件要求，结合我市的实际情况，制定本</w:t>
      </w:r>
      <w:r>
        <w:rPr>
          <w:rFonts w:hint="eastAsia" w:ascii="Times New Roman" w:hAnsi="Times New Roman" w:eastAsia="仿宋_GB2312" w:cs="仿宋_GB2312"/>
          <w:color w:val="auto"/>
          <w:sz w:val="32"/>
          <w:szCs w:val="32"/>
          <w:lang w:val="en-US" w:eastAsia="zh-CN"/>
        </w:rPr>
        <w:t>措</w:t>
      </w:r>
      <w:r>
        <w:rPr>
          <w:rFonts w:hint="eastAsia" w:ascii="Times New Roman" w:hAnsi="Times New Roman" w:eastAsia="仿宋_GB2312" w:cs="仿宋_GB2312"/>
          <w:color w:val="auto"/>
          <w:w w:val="95"/>
          <w:sz w:val="32"/>
          <w:szCs w:val="32"/>
          <w:lang w:val="en-US" w:eastAsia="zh-CN"/>
        </w:rPr>
        <w:t>施</w:t>
      </w:r>
      <w:r>
        <w:rPr>
          <w:rFonts w:hint="eastAsia" w:ascii="Times New Roman" w:hAnsi="Times New Roman" w:eastAsia="仿宋_GB2312" w:cs="仿宋_GB2312"/>
          <w:color w:val="auto"/>
          <w:w w:val="95"/>
          <w:sz w:val="32"/>
          <w:szCs w:val="32"/>
        </w:rPr>
        <w:t>。</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Times New Roman" w:hAnsi="Times New Roman" w:eastAsia="黑体" w:cs="黑体"/>
          <w:color w:val="auto"/>
          <w:sz w:val="32"/>
          <w:szCs w:val="32"/>
        </w:rPr>
      </w:pPr>
      <w:r>
        <w:rPr>
          <w:rFonts w:hint="eastAsia" w:ascii="Times New Roman" w:hAnsi="Times New Roman" w:eastAsia="黑体" w:cs="黑体"/>
          <w:color w:val="auto"/>
          <w:sz w:val="32"/>
          <w:szCs w:val="32"/>
        </w:rPr>
        <w:t>一、发展目标</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Times New Roman" w:hAnsi="Times New Roman" w:eastAsia="仿宋_GB2312" w:cs="仿宋_GB2312"/>
          <w:color w:val="auto"/>
          <w:sz w:val="32"/>
          <w:szCs w:val="32"/>
        </w:rPr>
      </w:pPr>
      <w:r>
        <w:rPr>
          <w:rFonts w:hint="eastAsia" w:ascii="Times New Roman" w:hAnsi="Times New Roman" w:eastAsia="仿宋_GB2312"/>
          <w:color w:val="auto"/>
          <w:sz w:val="32"/>
          <w:szCs w:val="32"/>
          <w:lang w:val="en-US" w:eastAsia="zh-CN"/>
        </w:rPr>
        <w:t>按照</w:t>
      </w:r>
      <w:r>
        <w:rPr>
          <w:rFonts w:hint="eastAsia" w:ascii="Times New Roman" w:hAnsi="Times New Roman" w:eastAsia="仿宋_GB2312"/>
          <w:color w:val="auto"/>
          <w:sz w:val="32"/>
          <w:szCs w:val="32"/>
        </w:rPr>
        <w:t>“立足广西、融入湾区、面向全国、联通东盟”</w:t>
      </w:r>
      <w:r>
        <w:rPr>
          <w:rFonts w:hint="eastAsia" w:ascii="Times New Roman" w:hAnsi="Times New Roman" w:eastAsia="仿宋_GB2312"/>
          <w:color w:val="auto"/>
          <w:sz w:val="32"/>
          <w:szCs w:val="32"/>
          <w:lang w:val="en-US" w:eastAsia="zh-CN"/>
        </w:rPr>
        <w:t>的建设目标</w:t>
      </w:r>
      <w:r>
        <w:rPr>
          <w:rFonts w:hint="eastAsia" w:ascii="Times New Roman" w:hAnsi="Times New Roman" w:eastAsia="仿宋_GB2312"/>
          <w:color w:val="auto"/>
          <w:sz w:val="32"/>
          <w:szCs w:val="32"/>
        </w:rPr>
        <w:t>，</w:t>
      </w:r>
      <w:r>
        <w:rPr>
          <w:rFonts w:hint="eastAsia" w:ascii="Times New Roman" w:hAnsi="Times New Roman" w:eastAsia="仿宋_GB2312"/>
          <w:color w:val="auto"/>
          <w:sz w:val="32"/>
          <w:szCs w:val="32"/>
          <w:lang w:val="en-US" w:eastAsia="zh-CN"/>
        </w:rPr>
        <w:t>形成具有</w:t>
      </w:r>
      <w:r>
        <w:rPr>
          <w:rFonts w:hint="eastAsia" w:ascii="Times New Roman" w:hAnsi="Times New Roman" w:eastAsia="仿宋_GB2312"/>
          <w:color w:val="auto"/>
          <w:sz w:val="32"/>
          <w:szCs w:val="32"/>
        </w:rPr>
        <w:t>支撑实体经济、助力乡村振兴、服务“一带一路”的</w:t>
      </w:r>
      <w:r>
        <w:rPr>
          <w:rFonts w:hint="eastAsia" w:ascii="Times New Roman" w:hAnsi="Times New Roman" w:eastAsia="仿宋_GB2312"/>
          <w:color w:val="auto"/>
          <w:sz w:val="32"/>
          <w:szCs w:val="32"/>
          <w:lang w:val="en-US" w:eastAsia="zh-CN"/>
        </w:rPr>
        <w:t>人力资源服务产业集群</w:t>
      </w:r>
      <w:r>
        <w:rPr>
          <w:rFonts w:hint="eastAsia" w:ascii="Times New Roman" w:hAnsi="Times New Roman" w:eastAsia="仿宋_GB2312"/>
          <w:color w:val="auto"/>
          <w:sz w:val="32"/>
          <w:szCs w:val="32"/>
        </w:rPr>
        <w:t>。</w:t>
      </w:r>
      <w:r>
        <w:rPr>
          <w:rFonts w:hint="eastAsia" w:ascii="Times New Roman" w:hAnsi="Times New Roman" w:eastAsia="仿宋_GB2312" w:cs="仿宋_GB2312"/>
          <w:color w:val="auto"/>
          <w:sz w:val="32"/>
          <w:szCs w:val="32"/>
        </w:rPr>
        <w:t>到2</w:t>
      </w:r>
      <w:r>
        <w:rPr>
          <w:rFonts w:ascii="Times New Roman" w:hAnsi="Times New Roman" w:eastAsia="仿宋_GB2312" w:cs="仿宋_GB2312"/>
          <w:color w:val="auto"/>
          <w:sz w:val="32"/>
          <w:szCs w:val="32"/>
        </w:rPr>
        <w:t>026</w:t>
      </w:r>
      <w:r>
        <w:rPr>
          <w:rFonts w:hint="eastAsia" w:ascii="Times New Roman" w:hAnsi="Times New Roman" w:eastAsia="仿宋_GB2312" w:cs="仿宋_GB2312"/>
          <w:color w:val="auto"/>
          <w:sz w:val="32"/>
          <w:szCs w:val="32"/>
        </w:rPr>
        <w:t>年，产业园入驻企业数达到200家以上，其中规模以上企业超过30家，年营业收入达到100亿元，成为全国有一定影响力的国家级人力资源服务产业园。</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9"/>
        <w:rPr>
          <w:rFonts w:ascii="Times New Roman" w:hAnsi="Times New Roman" w:eastAsia="黑体" w:cs="黑体"/>
          <w:color w:val="auto"/>
          <w:sz w:val="32"/>
          <w:szCs w:val="32"/>
        </w:rPr>
      </w:pPr>
      <w:r>
        <w:rPr>
          <w:rFonts w:hint="eastAsia" w:ascii="Times New Roman" w:hAnsi="Times New Roman" w:eastAsia="黑体" w:cs="黑体"/>
          <w:color w:val="auto"/>
          <w:sz w:val="32"/>
          <w:szCs w:val="32"/>
        </w:rPr>
        <w:t>二、工作措施</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Times New Roman" w:hAnsi="Times New Roman" w:eastAsia="楷体_GB2312" w:cs="楷体_GB2312"/>
          <w:color w:val="auto"/>
          <w:sz w:val="32"/>
          <w:szCs w:val="32"/>
        </w:rPr>
      </w:pPr>
      <w:r>
        <w:rPr>
          <w:rFonts w:hint="eastAsia" w:ascii="Times New Roman" w:hAnsi="Times New Roman" w:eastAsia="楷体_GB2312" w:cs="楷体_GB2312"/>
          <w:color w:val="auto"/>
          <w:sz w:val="32"/>
          <w:szCs w:val="32"/>
        </w:rPr>
        <w:t>（一）按照“一园三区多站点”布局建设产业园</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一园：国家级柳州人力资源服务产业园；三区：核心园区（广西</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lang w:val="en-US" w:eastAsia="zh-CN"/>
        </w:rPr>
        <w:t>柳州）职业技能公共实训基地）、北部园区、柳东园区；多站点：除北部新区和柳东新区以外的其他县区延伸建设的人力资源服务工作站（点）。</w:t>
      </w:r>
    </w:p>
    <w:p>
      <w:pPr>
        <w:pStyle w:val="8"/>
        <w:keepNext w:val="0"/>
        <w:keepLines w:val="0"/>
        <w:pageBreakBefore w:val="0"/>
        <w:widowControl w:val="0"/>
        <w:kinsoku/>
        <w:wordWrap/>
        <w:overflowPunct/>
        <w:topLinePunct w:val="0"/>
        <w:autoSpaceDE/>
        <w:autoSpaceDN/>
        <w:bidi w:val="0"/>
        <w:spacing w:line="560" w:lineRule="exact"/>
        <w:ind w:firstLine="640"/>
        <w:textAlignment w:val="auto"/>
        <w:outlineLvl w:val="9"/>
        <w:rPr>
          <w:rFonts w:ascii="Times New Roman" w:hAnsi="Times New Roman" w:eastAsia="仿宋_GB2312" w:cs="仿宋_GB2312"/>
          <w:color w:val="auto"/>
          <w:sz w:val="32"/>
          <w:szCs w:val="32"/>
        </w:rPr>
      </w:pPr>
      <w:r>
        <w:rPr>
          <w:rFonts w:hint="eastAsia" w:ascii="Times New Roman" w:hAnsi="Times New Roman" w:eastAsia="仿宋_GB2312" w:cs="仿宋"/>
          <w:b/>
          <w:bCs/>
          <w:color w:val="auto"/>
          <w:sz w:val="32"/>
          <w:szCs w:val="32"/>
        </w:rPr>
        <w:t>1.</w:t>
      </w:r>
      <w:r>
        <w:rPr>
          <w:rFonts w:hint="eastAsia" w:ascii="Times New Roman" w:hAnsi="Times New Roman" w:eastAsia="仿宋_GB2312" w:cs="仿宋"/>
          <w:b/>
          <w:bCs/>
          <w:color w:val="auto"/>
          <w:sz w:val="32"/>
          <w:szCs w:val="32"/>
          <w:lang w:eastAsia="zh-CN"/>
        </w:rPr>
        <w:t>产业园</w:t>
      </w:r>
      <w:r>
        <w:rPr>
          <w:rFonts w:hint="eastAsia" w:ascii="Times New Roman" w:hAnsi="Times New Roman" w:eastAsia="仿宋_GB2312" w:cs="仿宋"/>
          <w:b/>
          <w:bCs/>
          <w:color w:val="auto"/>
          <w:sz w:val="32"/>
          <w:szCs w:val="32"/>
          <w:lang w:val="en-US" w:eastAsia="zh-CN"/>
        </w:rPr>
        <w:t>管理模式</w:t>
      </w:r>
      <w:r>
        <w:rPr>
          <w:rFonts w:hint="eastAsia" w:ascii="Times New Roman" w:hAnsi="Times New Roman" w:eastAsia="仿宋_GB2312" w:cs="仿宋"/>
          <w:b/>
          <w:bCs/>
          <w:color w:val="auto"/>
          <w:sz w:val="32"/>
          <w:szCs w:val="32"/>
        </w:rPr>
        <w:t>。</w:t>
      </w:r>
      <w:r>
        <w:rPr>
          <w:rFonts w:hint="eastAsia" w:ascii="Times New Roman" w:hAnsi="Times New Roman" w:eastAsia="仿宋_GB2312" w:cs="仿宋_GB2312"/>
          <w:color w:val="auto"/>
          <w:sz w:val="32"/>
          <w:szCs w:val="32"/>
        </w:rPr>
        <w:t>产业园资质归柳州市人民政府所有，</w:t>
      </w:r>
      <w:r>
        <w:rPr>
          <w:rFonts w:hint="eastAsia" w:ascii="Times New Roman" w:hAnsi="Times New Roman" w:eastAsia="仿宋_GB2312" w:cs="仿宋_GB2312"/>
          <w:color w:val="auto"/>
          <w:sz w:val="32"/>
          <w:szCs w:val="32"/>
          <w:lang w:eastAsia="zh-CN"/>
        </w:rPr>
        <w:t>其重大建设事项</w:t>
      </w:r>
      <w:r>
        <w:rPr>
          <w:rFonts w:hint="eastAsia" w:ascii="Times New Roman" w:hAnsi="Times New Roman" w:eastAsia="仿宋_GB2312" w:cs="仿宋_GB2312"/>
          <w:color w:val="auto"/>
          <w:sz w:val="32"/>
          <w:szCs w:val="32"/>
        </w:rPr>
        <w:t>由市人力资源服务产业园建设</w:t>
      </w:r>
      <w:r>
        <w:rPr>
          <w:rFonts w:hint="eastAsia" w:ascii="Times New Roman" w:hAnsi="Times New Roman" w:eastAsia="仿宋_GB2312" w:cs="仿宋_GB2312"/>
          <w:color w:val="auto"/>
          <w:sz w:val="32"/>
          <w:szCs w:val="32"/>
          <w:lang w:eastAsia="zh-CN"/>
        </w:rPr>
        <w:t>工作</w:t>
      </w:r>
      <w:r>
        <w:rPr>
          <w:rFonts w:hint="eastAsia" w:ascii="Times New Roman" w:hAnsi="Times New Roman" w:eastAsia="仿宋_GB2312" w:cs="仿宋_GB2312"/>
          <w:color w:val="auto"/>
          <w:sz w:val="32"/>
          <w:szCs w:val="32"/>
        </w:rPr>
        <w:t>领导小组</w:t>
      </w:r>
      <w:r>
        <w:rPr>
          <w:rFonts w:hint="eastAsia" w:ascii="Times New Roman" w:hAnsi="Times New Roman" w:eastAsia="仿宋_GB2312" w:cs="仿宋_GB2312"/>
          <w:color w:val="auto"/>
          <w:sz w:val="32"/>
          <w:szCs w:val="32"/>
          <w:lang w:eastAsia="zh-CN"/>
        </w:rPr>
        <w:t>研究决定</w:t>
      </w:r>
      <w:r>
        <w:rPr>
          <w:rFonts w:hint="eastAsia" w:ascii="Times New Roman" w:hAnsi="Times New Roman" w:eastAsia="仿宋_GB2312" w:cs="仿宋_GB2312"/>
          <w:color w:val="auto"/>
          <w:sz w:val="32"/>
          <w:szCs w:val="32"/>
          <w:lang w:val="en-US" w:eastAsia="zh-CN"/>
        </w:rPr>
        <w:t>；</w:t>
      </w:r>
      <w:r>
        <w:rPr>
          <w:rFonts w:hint="eastAsia" w:ascii="Times New Roman" w:hAnsi="Times New Roman" w:eastAsia="仿宋_GB2312" w:cs="仿宋_GB2312"/>
          <w:color w:val="auto"/>
          <w:sz w:val="32"/>
          <w:szCs w:val="32"/>
          <w:lang w:eastAsia="zh-CN"/>
        </w:rPr>
        <w:t>市人力资源社会保障局</w:t>
      </w:r>
      <w:r>
        <w:rPr>
          <w:rFonts w:hint="eastAsia" w:ascii="Times New Roman" w:hAnsi="Times New Roman" w:eastAsia="仿宋_GB2312" w:cs="仿宋_GB2312"/>
          <w:color w:val="auto"/>
          <w:sz w:val="32"/>
          <w:szCs w:val="32"/>
          <w:lang w:val="en-US" w:eastAsia="zh-CN"/>
        </w:rPr>
        <w:t>负责业务指导和考核等管理工作；</w:t>
      </w:r>
      <w:r>
        <w:rPr>
          <w:rFonts w:hint="eastAsia" w:ascii="Times New Roman" w:hAnsi="Times New Roman" w:eastAsia="仿宋_GB2312" w:cs="仿宋_GB2312"/>
          <w:color w:val="auto"/>
          <w:sz w:val="32"/>
          <w:szCs w:val="32"/>
        </w:rPr>
        <w:t>市场化机构</w:t>
      </w:r>
      <w:r>
        <w:rPr>
          <w:rFonts w:hint="eastAsia" w:ascii="Times New Roman" w:hAnsi="Times New Roman" w:eastAsia="仿宋_GB2312" w:cs="仿宋_GB2312"/>
          <w:color w:val="auto"/>
          <w:sz w:val="32"/>
          <w:szCs w:val="32"/>
          <w:lang w:val="en-US" w:eastAsia="zh-CN"/>
        </w:rPr>
        <w:t>负责产业园运营</w:t>
      </w:r>
      <w:r>
        <w:rPr>
          <w:rFonts w:hint="eastAsia" w:ascii="Times New Roman" w:hAnsi="Times New Roman" w:eastAsia="仿宋_GB2312" w:cs="仿宋_GB2312"/>
          <w:color w:val="auto"/>
          <w:sz w:val="32"/>
          <w:szCs w:val="32"/>
        </w:rPr>
        <w:t>。（牵头单位：市人社局，责任单位：市人力资源服务产业园建设</w:t>
      </w:r>
      <w:r>
        <w:rPr>
          <w:rFonts w:hint="eastAsia" w:ascii="Times New Roman" w:hAnsi="Times New Roman" w:eastAsia="仿宋_GB2312" w:cs="仿宋_GB2312"/>
          <w:color w:val="auto"/>
          <w:sz w:val="32"/>
          <w:szCs w:val="32"/>
          <w:lang w:eastAsia="zh-CN"/>
        </w:rPr>
        <w:t>工作</w:t>
      </w:r>
      <w:r>
        <w:rPr>
          <w:rFonts w:hint="eastAsia" w:ascii="Times New Roman" w:hAnsi="Times New Roman" w:eastAsia="仿宋_GB2312" w:cs="仿宋_GB2312"/>
          <w:color w:val="auto"/>
          <w:sz w:val="32"/>
          <w:szCs w:val="32"/>
        </w:rPr>
        <w:t>领导小组各成员单位）</w:t>
      </w:r>
    </w:p>
    <w:p>
      <w:pPr>
        <w:keepNext w:val="0"/>
        <w:keepLines w:val="0"/>
        <w:pageBreakBefore w:val="0"/>
        <w:widowControl w:val="0"/>
        <w:kinsoku/>
        <w:wordWrap/>
        <w:overflowPunct/>
        <w:topLinePunct w:val="0"/>
        <w:autoSpaceDE/>
        <w:autoSpaceDN/>
        <w:bidi w:val="0"/>
        <w:spacing w:line="560" w:lineRule="exact"/>
        <w:ind w:firstLine="642" w:firstLineChars="200"/>
        <w:textAlignment w:val="auto"/>
        <w:outlineLvl w:val="9"/>
        <w:rPr>
          <w:rFonts w:ascii="Times New Roman" w:hAnsi="Times New Roman" w:eastAsia="仿宋_GB2312" w:cs="仿宋_GB2312"/>
          <w:color w:val="auto"/>
          <w:sz w:val="32"/>
          <w:szCs w:val="32"/>
        </w:rPr>
      </w:pPr>
      <w:r>
        <w:rPr>
          <w:rFonts w:hint="eastAsia" w:ascii="Times New Roman" w:hAnsi="Times New Roman" w:eastAsia="仿宋_GB2312" w:cs="仿宋"/>
          <w:b/>
          <w:bCs/>
          <w:color w:val="auto"/>
          <w:sz w:val="32"/>
          <w:szCs w:val="32"/>
        </w:rPr>
        <w:t>2.产业园建设</w:t>
      </w:r>
      <w:r>
        <w:rPr>
          <w:rFonts w:hint="eastAsia" w:ascii="Times New Roman" w:hAnsi="Times New Roman" w:eastAsia="仿宋_GB2312" w:cs="仿宋"/>
          <w:b/>
          <w:bCs/>
          <w:color w:val="auto"/>
          <w:sz w:val="32"/>
          <w:szCs w:val="32"/>
          <w:lang w:val="en-US" w:eastAsia="zh-CN"/>
        </w:rPr>
        <w:t>方式</w:t>
      </w:r>
      <w:r>
        <w:rPr>
          <w:rFonts w:hint="eastAsia" w:ascii="Times New Roman" w:hAnsi="Times New Roman" w:eastAsia="仿宋_GB2312" w:cs="仿宋"/>
          <w:b/>
          <w:bCs/>
          <w:color w:val="auto"/>
          <w:sz w:val="32"/>
          <w:szCs w:val="32"/>
        </w:rPr>
        <w:t>。</w:t>
      </w:r>
      <w:r>
        <w:rPr>
          <w:rFonts w:hint="eastAsia" w:ascii="Times New Roman" w:hAnsi="Times New Roman" w:eastAsia="仿宋_GB2312" w:cs="仿宋_GB2312"/>
          <w:color w:val="auto"/>
          <w:kern w:val="2"/>
          <w:sz w:val="32"/>
          <w:szCs w:val="32"/>
          <w:lang w:val="en-US" w:eastAsia="zh-CN" w:bidi="ar-SA"/>
        </w:rPr>
        <w:t>鼓励</w:t>
      </w:r>
      <w:r>
        <w:rPr>
          <w:rFonts w:hint="eastAsia" w:ascii="Times New Roman" w:hAnsi="Times New Roman" w:eastAsia="仿宋_GB2312" w:cs="仿宋_GB2312"/>
          <w:color w:val="auto"/>
          <w:sz w:val="32"/>
          <w:szCs w:val="32"/>
          <w:lang w:val="en-US" w:eastAsia="zh-CN"/>
        </w:rPr>
        <w:t>其他县（区）在</w:t>
      </w:r>
      <w:r>
        <w:rPr>
          <w:rFonts w:hint="eastAsia" w:ascii="Times New Roman" w:hAnsi="Times New Roman" w:eastAsia="仿宋_GB2312" w:cs="仿宋_GB2312"/>
          <w:color w:val="auto"/>
          <w:kern w:val="2"/>
          <w:sz w:val="32"/>
          <w:szCs w:val="32"/>
          <w:highlight w:val="none"/>
          <w:lang w:val="en-US" w:eastAsia="zh-CN" w:bidi="ar-SA"/>
        </w:rPr>
        <w:t>“</w:t>
      </w:r>
      <w:r>
        <w:rPr>
          <w:rFonts w:hint="eastAsia" w:ascii="Times New Roman" w:hAnsi="Times New Roman" w:eastAsia="仿宋_GB2312" w:cs="仿宋_GB2312"/>
          <w:color w:val="auto"/>
          <w:sz w:val="32"/>
          <w:szCs w:val="32"/>
          <w:lang w:val="en-US" w:eastAsia="zh-CN"/>
        </w:rPr>
        <w:t>一园三区</w:t>
      </w:r>
      <w:r>
        <w:rPr>
          <w:rFonts w:hint="default" w:ascii="Times New Roman" w:hAnsi="Times New Roman" w:eastAsia="仿宋_GB2312" w:cs="仿宋_GB2312"/>
          <w:color w:val="auto"/>
          <w:sz w:val="32"/>
          <w:szCs w:val="32"/>
          <w:highlight w:val="none"/>
          <w:lang w:val="en" w:eastAsia="zh-CN"/>
        </w:rPr>
        <w:t>”</w:t>
      </w:r>
      <w:r>
        <w:rPr>
          <w:rFonts w:hint="eastAsia" w:ascii="Times New Roman" w:hAnsi="Times New Roman" w:eastAsia="仿宋_GB2312" w:cs="仿宋_GB2312"/>
          <w:color w:val="auto"/>
          <w:sz w:val="32"/>
          <w:szCs w:val="32"/>
          <w:lang w:val="en-US" w:eastAsia="zh-CN"/>
        </w:rPr>
        <w:t>的基础上，延伸建设服务站（点），集聚优质人力资源服务企业。</w:t>
      </w:r>
      <w:r>
        <w:rPr>
          <w:rFonts w:hint="eastAsia" w:ascii="Times New Roman" w:hAnsi="Times New Roman" w:eastAsia="仿宋_GB2312" w:cs="仿宋_GB2312"/>
          <w:color w:val="auto"/>
          <w:kern w:val="2"/>
          <w:sz w:val="32"/>
          <w:szCs w:val="32"/>
          <w:highlight w:val="none"/>
          <w:lang w:val="en-US" w:eastAsia="zh-CN" w:bidi="ar-SA"/>
        </w:rPr>
        <w:t>“</w:t>
      </w:r>
      <w:r>
        <w:rPr>
          <w:rFonts w:hint="eastAsia" w:ascii="Times New Roman" w:hAnsi="Times New Roman" w:eastAsia="仿宋_GB2312" w:cs="仿宋_GB2312"/>
          <w:color w:val="auto"/>
          <w:sz w:val="32"/>
          <w:szCs w:val="32"/>
          <w:lang w:val="en-US" w:eastAsia="zh-CN"/>
        </w:rPr>
        <w:t>三区多站点”由所在县（区）政府负责管理，入驻企业由产业园运营机构统一服务，入驻企业数据归入该县（区）级行政区域的统计范围，纳入产业园业绩数据。</w:t>
      </w:r>
      <w:r>
        <w:rPr>
          <w:rFonts w:hint="eastAsia" w:ascii="Times New Roman" w:hAnsi="Times New Roman" w:eastAsia="仿宋_GB2312" w:cs="仿宋_GB2312"/>
          <w:color w:val="auto"/>
          <w:sz w:val="32"/>
          <w:szCs w:val="32"/>
        </w:rPr>
        <w:t>（牵头单位：市人社局，责任单位：各</w:t>
      </w:r>
      <w:r>
        <w:rPr>
          <w:rFonts w:hint="eastAsia" w:ascii="Times New Roman" w:hAnsi="Times New Roman" w:eastAsia="仿宋_GB2312" w:cs="仿宋_GB2312"/>
          <w:color w:val="auto"/>
          <w:sz w:val="32"/>
          <w:szCs w:val="32"/>
          <w:lang w:eastAsia="zh-CN"/>
        </w:rPr>
        <w:t>县</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lang w:eastAsia="zh-CN"/>
        </w:rPr>
        <w:t>区）</w:t>
      </w:r>
      <w:r>
        <w:rPr>
          <w:rFonts w:hint="eastAsia" w:ascii="Times New Roman" w:hAnsi="Times New Roman" w:eastAsia="仿宋_GB2312" w:cs="仿宋_GB2312"/>
          <w:color w:val="auto"/>
          <w:sz w:val="32"/>
          <w:szCs w:val="32"/>
        </w:rPr>
        <w:t>人民政府）</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Times New Roman" w:hAnsi="Times New Roman" w:eastAsia="楷体_GB2312" w:cs="楷体"/>
          <w:color w:val="auto"/>
          <w:sz w:val="32"/>
          <w:szCs w:val="32"/>
        </w:rPr>
      </w:pPr>
      <w:r>
        <w:rPr>
          <w:rFonts w:hint="eastAsia" w:ascii="Times New Roman" w:hAnsi="Times New Roman" w:eastAsia="楷体_GB2312" w:cs="楷体"/>
          <w:color w:val="auto"/>
          <w:sz w:val="32"/>
          <w:szCs w:val="32"/>
        </w:rPr>
        <w:t>（二）支持产业园高质量发展</w:t>
      </w:r>
    </w:p>
    <w:p>
      <w:pPr>
        <w:pStyle w:val="8"/>
        <w:keepNext w:val="0"/>
        <w:keepLines w:val="0"/>
        <w:pageBreakBefore w:val="0"/>
        <w:widowControl w:val="0"/>
        <w:kinsoku/>
        <w:wordWrap/>
        <w:overflowPunct/>
        <w:topLinePunct w:val="0"/>
        <w:autoSpaceDE/>
        <w:autoSpaceDN/>
        <w:bidi w:val="0"/>
        <w:spacing w:line="560" w:lineRule="exact"/>
        <w:ind w:firstLine="640"/>
        <w:textAlignment w:val="auto"/>
        <w:outlineLvl w:val="9"/>
        <w:rPr>
          <w:rFonts w:ascii="Times New Roman" w:hAnsi="Times New Roman" w:eastAsia="仿宋_GB2312" w:cs="仿宋_GB2312"/>
          <w:color w:val="auto"/>
          <w:sz w:val="32"/>
          <w:szCs w:val="32"/>
        </w:rPr>
      </w:pPr>
      <w:r>
        <w:rPr>
          <w:rFonts w:hint="eastAsia" w:ascii="Times New Roman" w:hAnsi="Times New Roman" w:eastAsia="仿宋_GB2312" w:cs="仿宋"/>
          <w:b/>
          <w:bCs/>
          <w:color w:val="auto"/>
          <w:sz w:val="32"/>
          <w:szCs w:val="32"/>
        </w:rPr>
        <w:t>1.安排专项发展资金。</w:t>
      </w:r>
      <w:r>
        <w:rPr>
          <w:rFonts w:hint="eastAsia" w:ascii="Times New Roman" w:hAnsi="Times New Roman" w:eastAsia="仿宋_GB2312" w:cs="仿宋_GB2312"/>
          <w:color w:val="auto"/>
          <w:sz w:val="32"/>
          <w:szCs w:val="32"/>
        </w:rPr>
        <w:t>2</w:t>
      </w:r>
      <w:r>
        <w:rPr>
          <w:rFonts w:ascii="Times New Roman" w:hAnsi="Times New Roman" w:eastAsia="仿宋_GB2312" w:cs="仿宋_GB2312"/>
          <w:color w:val="auto"/>
          <w:sz w:val="32"/>
          <w:szCs w:val="32"/>
        </w:rPr>
        <w:t>024</w:t>
      </w:r>
      <w:r>
        <w:rPr>
          <w:rFonts w:hint="eastAsia" w:ascii="Times New Roman" w:hAnsi="Times New Roman" w:eastAsia="仿宋_GB2312" w:cs="仿宋_GB2312"/>
          <w:color w:val="auto"/>
          <w:sz w:val="32"/>
          <w:szCs w:val="32"/>
        </w:rPr>
        <w:t>年-</w:t>
      </w:r>
      <w:r>
        <w:rPr>
          <w:rFonts w:ascii="Times New Roman" w:hAnsi="Times New Roman" w:eastAsia="仿宋_GB2312" w:cs="仿宋_GB2312"/>
          <w:color w:val="auto"/>
          <w:sz w:val="32"/>
          <w:szCs w:val="32"/>
        </w:rPr>
        <w:t>2026</w:t>
      </w:r>
      <w:r>
        <w:rPr>
          <w:rFonts w:hint="eastAsia" w:ascii="Times New Roman" w:hAnsi="Times New Roman" w:eastAsia="仿宋_GB2312" w:cs="仿宋_GB2312"/>
          <w:color w:val="auto"/>
          <w:sz w:val="32"/>
          <w:szCs w:val="32"/>
        </w:rPr>
        <w:t>年，市本级财政每年安排</w:t>
      </w:r>
      <w:r>
        <w:rPr>
          <w:rFonts w:hint="eastAsia" w:ascii="Times New Roman" w:hAnsi="Times New Roman" w:eastAsia="仿宋_GB2312" w:cs="仿宋_GB2312"/>
          <w:color w:val="auto"/>
          <w:sz w:val="32"/>
          <w:szCs w:val="32"/>
          <w:lang w:val="en-US" w:eastAsia="zh-CN"/>
        </w:rPr>
        <w:t>3</w:t>
      </w:r>
      <w:r>
        <w:rPr>
          <w:rFonts w:hint="eastAsia" w:ascii="Times New Roman" w:hAnsi="Times New Roman" w:eastAsia="仿宋_GB2312" w:cs="仿宋_GB2312"/>
          <w:color w:val="auto"/>
          <w:sz w:val="32"/>
          <w:szCs w:val="32"/>
        </w:rPr>
        <w:t>00万元的</w:t>
      </w:r>
      <w:r>
        <w:rPr>
          <w:rFonts w:hint="eastAsia" w:ascii="Times New Roman" w:hAnsi="Times New Roman" w:eastAsia="仿宋_GB2312" w:cs="仿宋_GB2312"/>
          <w:color w:val="auto"/>
          <w:sz w:val="32"/>
          <w:szCs w:val="32"/>
          <w:lang w:val="en-US" w:eastAsia="zh-CN"/>
        </w:rPr>
        <w:t>国家级</w:t>
      </w:r>
      <w:r>
        <w:rPr>
          <w:rFonts w:hint="eastAsia" w:ascii="Times New Roman" w:hAnsi="Times New Roman" w:eastAsia="仿宋_GB2312" w:cs="仿宋_GB2312"/>
          <w:color w:val="auto"/>
          <w:sz w:val="32"/>
          <w:szCs w:val="32"/>
        </w:rPr>
        <w:t>产业园专项发展资金，其中</w:t>
      </w:r>
      <w:r>
        <w:rPr>
          <w:rFonts w:hint="eastAsia" w:ascii="Times New Roman" w:hAnsi="Times New Roman" w:eastAsia="仿宋_GB2312" w:cs="仿宋_GB2312"/>
          <w:color w:val="auto"/>
          <w:sz w:val="32"/>
          <w:szCs w:val="32"/>
          <w:lang w:val="en-US" w:eastAsia="zh-CN"/>
        </w:rPr>
        <w:t>150万元用于本措施政策兑现及产业园相关业务工作，150万元用</w:t>
      </w:r>
      <w:r>
        <w:rPr>
          <w:rFonts w:hint="eastAsia" w:ascii="Times New Roman" w:hAnsi="Times New Roman" w:eastAsia="仿宋_GB2312" w:cs="仿宋_GB2312"/>
          <w:color w:val="auto"/>
          <w:sz w:val="32"/>
          <w:szCs w:val="32"/>
        </w:rPr>
        <w:t>于</w:t>
      </w:r>
      <w:r>
        <w:rPr>
          <w:rFonts w:hint="eastAsia" w:ascii="Times New Roman" w:hAnsi="Times New Roman" w:eastAsia="仿宋_GB2312" w:cs="仿宋_GB2312"/>
          <w:color w:val="auto"/>
          <w:sz w:val="32"/>
          <w:szCs w:val="32"/>
          <w:lang w:val="en-US" w:eastAsia="zh-CN"/>
        </w:rPr>
        <w:t>采购产业园运营服务费用，</w:t>
      </w:r>
      <w:r>
        <w:rPr>
          <w:rFonts w:hint="eastAsia" w:ascii="Times New Roman" w:hAnsi="Times New Roman" w:eastAsia="仿宋_GB2312" w:cs="仿宋_GB2312"/>
          <w:color w:val="auto"/>
          <w:sz w:val="32"/>
          <w:szCs w:val="32"/>
        </w:rPr>
        <w:t>连续采购三年。</w:t>
      </w:r>
      <w:r>
        <w:rPr>
          <w:rFonts w:hint="eastAsia" w:ascii="Times New Roman" w:hAnsi="Times New Roman" w:eastAsia="仿宋_GB2312" w:cs="仿宋_GB2312"/>
          <w:color w:val="auto"/>
          <w:sz w:val="32"/>
          <w:szCs w:val="32"/>
          <w:lang w:eastAsia="zh-CN"/>
        </w:rPr>
        <w:t>上级拨付用于人力资源服务产业</w:t>
      </w:r>
      <w:r>
        <w:rPr>
          <w:rFonts w:hint="eastAsia" w:ascii="Times New Roman" w:hAnsi="Times New Roman" w:eastAsia="仿宋_GB2312" w:cs="仿宋_GB2312"/>
          <w:color w:val="auto"/>
          <w:sz w:val="32"/>
          <w:szCs w:val="32"/>
          <w:lang w:val="en-US" w:eastAsia="zh-CN"/>
        </w:rPr>
        <w:t>和</w:t>
      </w:r>
      <w:r>
        <w:rPr>
          <w:rFonts w:hint="eastAsia" w:ascii="Times New Roman" w:hAnsi="Times New Roman" w:eastAsia="仿宋_GB2312" w:cs="仿宋_GB2312"/>
          <w:color w:val="auto"/>
          <w:sz w:val="32"/>
          <w:szCs w:val="32"/>
          <w:lang w:eastAsia="zh-CN"/>
        </w:rPr>
        <w:t>产业园建设发展资金不纳入</w:t>
      </w:r>
      <w:r>
        <w:rPr>
          <w:rFonts w:hint="eastAsia" w:ascii="Times New Roman" w:hAnsi="Times New Roman" w:eastAsia="仿宋_GB2312" w:cs="仿宋_GB2312"/>
          <w:color w:val="auto"/>
          <w:sz w:val="32"/>
          <w:szCs w:val="32"/>
          <w:lang w:val="en-US" w:eastAsia="zh-CN"/>
        </w:rPr>
        <w:t>市本级</w:t>
      </w:r>
      <w:r>
        <w:rPr>
          <w:rFonts w:hint="eastAsia" w:ascii="Times New Roman" w:hAnsi="Times New Roman" w:eastAsia="仿宋_GB2312" w:cs="仿宋_GB2312"/>
          <w:color w:val="auto"/>
          <w:sz w:val="32"/>
          <w:szCs w:val="32"/>
          <w:lang w:eastAsia="zh-CN"/>
        </w:rPr>
        <w:t>专项发展资金范畴。</w:t>
      </w:r>
      <w:r>
        <w:rPr>
          <w:rFonts w:hint="eastAsia" w:ascii="Times New Roman" w:hAnsi="Times New Roman" w:eastAsia="仿宋_GB2312" w:cs="仿宋_GB2312"/>
          <w:color w:val="auto"/>
          <w:sz w:val="32"/>
          <w:szCs w:val="32"/>
        </w:rPr>
        <w:t>（牵头单位：市人社局，责任单位：市财政局）</w:t>
      </w:r>
    </w:p>
    <w:p>
      <w:pPr>
        <w:pStyle w:val="8"/>
        <w:keepNext w:val="0"/>
        <w:keepLines w:val="0"/>
        <w:pageBreakBefore w:val="0"/>
        <w:widowControl w:val="0"/>
        <w:kinsoku/>
        <w:wordWrap/>
        <w:overflowPunct/>
        <w:topLinePunct w:val="0"/>
        <w:autoSpaceDE/>
        <w:autoSpaceDN/>
        <w:bidi w:val="0"/>
        <w:spacing w:line="560" w:lineRule="exact"/>
        <w:ind w:firstLine="640"/>
        <w:textAlignment w:val="auto"/>
        <w:outlineLvl w:val="9"/>
        <w:rPr>
          <w:rFonts w:ascii="Times New Roman" w:hAnsi="Times New Roman" w:eastAsia="仿宋_GB2312" w:cs="仿宋_GB2312"/>
          <w:color w:val="auto"/>
          <w:sz w:val="32"/>
          <w:szCs w:val="32"/>
        </w:rPr>
      </w:pPr>
      <w:r>
        <w:rPr>
          <w:rFonts w:hint="eastAsia" w:ascii="Times New Roman" w:hAnsi="Times New Roman" w:eastAsia="仿宋_GB2312" w:cs="仿宋"/>
          <w:b/>
          <w:bCs/>
          <w:color w:val="auto"/>
          <w:sz w:val="32"/>
          <w:szCs w:val="32"/>
        </w:rPr>
        <w:t>2.引进优质企业。</w:t>
      </w:r>
      <w:r>
        <w:rPr>
          <w:rFonts w:hint="eastAsia" w:ascii="Times New Roman" w:hAnsi="Times New Roman" w:eastAsia="仿宋_GB2312" w:cs="仿宋_GB2312"/>
          <w:color w:val="auto"/>
          <w:sz w:val="32"/>
          <w:szCs w:val="32"/>
          <w:lang w:val="en-US" w:eastAsia="zh-CN"/>
        </w:rPr>
        <w:t>鼓励各县（区）出台引进优质人力资源服务企业的入园政策。对新</w:t>
      </w:r>
      <w:r>
        <w:rPr>
          <w:rFonts w:hint="eastAsia" w:ascii="Times New Roman" w:hAnsi="Times New Roman" w:eastAsia="仿宋_GB2312" w:cs="仿宋"/>
          <w:color w:val="auto"/>
          <w:kern w:val="0"/>
          <w:sz w:val="32"/>
          <w:szCs w:val="32"/>
          <w:lang w:val="en-US" w:bidi="zh-CN"/>
        </w:rPr>
        <w:t>引进的入园企业首次年纳税总额达到200万元以上的，一次性奖励招商团队（人）3万元，</w:t>
      </w:r>
      <w:r>
        <w:rPr>
          <w:rFonts w:hint="eastAsia" w:ascii="Times New Roman" w:hAnsi="Times New Roman" w:eastAsia="仿宋_GB2312" w:cs="仿宋_GB2312"/>
          <w:color w:val="auto"/>
          <w:sz w:val="32"/>
          <w:szCs w:val="32"/>
          <w:lang w:eastAsia="zh-CN"/>
        </w:rPr>
        <w:t>此项奖励资金总额不超过</w:t>
      </w:r>
      <w:r>
        <w:rPr>
          <w:rFonts w:hint="eastAsia" w:ascii="Times New Roman" w:hAnsi="Times New Roman" w:eastAsia="仿宋_GB2312" w:cs="仿宋"/>
          <w:color w:val="auto"/>
          <w:kern w:val="0"/>
          <w:sz w:val="32"/>
          <w:szCs w:val="32"/>
          <w:lang w:val="en-US" w:eastAsia="zh-CN" w:bidi="zh-CN"/>
        </w:rPr>
        <w:t>30万元，</w:t>
      </w:r>
      <w:r>
        <w:rPr>
          <w:rFonts w:hint="eastAsia" w:ascii="Times New Roman" w:hAnsi="Times New Roman" w:eastAsia="仿宋_GB2312" w:cs="仿宋_GB2312"/>
          <w:color w:val="auto"/>
          <w:sz w:val="32"/>
          <w:szCs w:val="32"/>
        </w:rPr>
        <w:t>所需资金从专项发展资金中列支</w:t>
      </w:r>
      <w:r>
        <w:rPr>
          <w:rFonts w:hint="eastAsia" w:ascii="Times New Roman" w:hAnsi="Times New Roman" w:eastAsia="仿宋_GB2312" w:cs="仿宋_GB2312"/>
          <w:color w:val="auto"/>
          <w:sz w:val="32"/>
          <w:szCs w:val="32"/>
          <w:lang w:val="en-US" w:eastAsia="zh-CN"/>
        </w:rPr>
        <w:t>。</w:t>
      </w:r>
      <w:r>
        <w:rPr>
          <w:rFonts w:hint="eastAsia" w:ascii="Times New Roman" w:hAnsi="Times New Roman" w:eastAsia="仿宋_GB2312" w:cs="仿宋_GB2312"/>
          <w:color w:val="auto"/>
          <w:sz w:val="32"/>
          <w:szCs w:val="32"/>
        </w:rPr>
        <w:t>（牵头单位：市人社局，责任单位：各</w:t>
      </w:r>
      <w:r>
        <w:rPr>
          <w:rFonts w:hint="eastAsia" w:ascii="Times New Roman" w:hAnsi="Times New Roman" w:eastAsia="仿宋_GB2312" w:cs="仿宋_GB2312"/>
          <w:color w:val="auto"/>
          <w:sz w:val="32"/>
          <w:szCs w:val="32"/>
          <w:lang w:eastAsia="zh-CN"/>
        </w:rPr>
        <w:t>县</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lang w:eastAsia="zh-CN"/>
        </w:rPr>
        <w:t>区）</w:t>
      </w:r>
      <w:r>
        <w:rPr>
          <w:rFonts w:hint="eastAsia" w:ascii="Times New Roman" w:hAnsi="Times New Roman" w:eastAsia="仿宋_GB2312" w:cs="仿宋_GB2312"/>
          <w:color w:val="auto"/>
          <w:sz w:val="32"/>
          <w:szCs w:val="32"/>
        </w:rPr>
        <w:t>人民政府）</w:t>
      </w:r>
    </w:p>
    <w:p>
      <w:pPr>
        <w:pStyle w:val="8"/>
        <w:keepNext w:val="0"/>
        <w:keepLines w:val="0"/>
        <w:pageBreakBefore w:val="0"/>
        <w:widowControl w:val="0"/>
        <w:kinsoku/>
        <w:wordWrap/>
        <w:overflowPunct/>
        <w:topLinePunct w:val="0"/>
        <w:autoSpaceDE/>
        <w:autoSpaceDN/>
        <w:bidi w:val="0"/>
        <w:spacing w:line="560" w:lineRule="exact"/>
        <w:ind w:firstLine="640"/>
        <w:textAlignment w:val="auto"/>
        <w:outlineLvl w:val="9"/>
        <w:rPr>
          <w:rFonts w:ascii="Times New Roman" w:hAnsi="Times New Roman" w:eastAsia="仿宋_GB2312" w:cs="仿宋_GB2312"/>
          <w:color w:val="auto"/>
          <w:sz w:val="32"/>
          <w:szCs w:val="32"/>
        </w:rPr>
      </w:pPr>
      <w:r>
        <w:rPr>
          <w:rFonts w:hint="eastAsia" w:ascii="Times New Roman" w:hAnsi="Times New Roman" w:eastAsia="仿宋_GB2312" w:cs="仿宋"/>
          <w:b/>
          <w:bCs/>
          <w:color w:val="auto"/>
          <w:sz w:val="32"/>
          <w:szCs w:val="32"/>
        </w:rPr>
        <w:t>3.培育骨干企业。</w:t>
      </w:r>
      <w:r>
        <w:rPr>
          <w:rFonts w:hint="eastAsia" w:ascii="Times New Roman" w:hAnsi="Times New Roman" w:eastAsia="仿宋_GB2312" w:cs="仿宋_GB2312"/>
          <w:color w:val="auto"/>
          <w:sz w:val="32"/>
          <w:szCs w:val="32"/>
        </w:rPr>
        <w:t>积极培育规模以上人力资源服务企业，</w:t>
      </w:r>
      <w:r>
        <w:rPr>
          <w:rFonts w:hint="eastAsia" w:ascii="Times New Roman" w:hAnsi="Times New Roman" w:eastAsia="仿宋_GB2312" w:cs="仿宋_GB2312"/>
          <w:color w:val="auto"/>
          <w:sz w:val="32"/>
          <w:szCs w:val="32"/>
          <w:lang w:val="en-US" w:eastAsia="zh-CN"/>
        </w:rPr>
        <w:t>企业</w:t>
      </w:r>
      <w:r>
        <w:rPr>
          <w:rFonts w:hint="eastAsia" w:ascii="Times New Roman" w:hAnsi="Times New Roman" w:eastAsia="仿宋_GB2312" w:cs="仿宋_GB2312"/>
          <w:color w:val="auto"/>
          <w:sz w:val="32"/>
          <w:szCs w:val="32"/>
        </w:rPr>
        <w:t>上规入统</w:t>
      </w:r>
      <w:r>
        <w:rPr>
          <w:rFonts w:hint="eastAsia" w:ascii="Times New Roman" w:hAnsi="Times New Roman" w:eastAsia="仿宋_GB2312" w:cs="仿宋_GB2312"/>
          <w:color w:val="auto"/>
          <w:sz w:val="32"/>
          <w:szCs w:val="32"/>
          <w:lang w:val="en-US" w:eastAsia="zh-CN"/>
        </w:rPr>
        <w:t>后在库一年</w:t>
      </w:r>
      <w:r>
        <w:rPr>
          <w:rFonts w:hint="eastAsia" w:ascii="Times New Roman" w:hAnsi="Times New Roman" w:eastAsia="仿宋_GB2312" w:cs="仿宋_GB2312"/>
          <w:color w:val="auto"/>
          <w:sz w:val="32"/>
          <w:szCs w:val="32"/>
        </w:rPr>
        <w:t>给予运营</w:t>
      </w:r>
      <w:r>
        <w:rPr>
          <w:rFonts w:hint="eastAsia" w:ascii="Times New Roman" w:hAnsi="Times New Roman" w:eastAsia="仿宋_GB2312" w:cs="仿宋_GB2312"/>
          <w:color w:val="auto"/>
          <w:sz w:val="32"/>
          <w:szCs w:val="32"/>
          <w:lang w:val="en-US" w:eastAsia="zh-CN"/>
        </w:rPr>
        <w:t>机构</w:t>
      </w:r>
      <w:r>
        <w:rPr>
          <w:rFonts w:hint="eastAsia" w:ascii="Times New Roman" w:hAnsi="Times New Roman" w:eastAsia="仿宋_GB2312" w:cs="仿宋_GB2312"/>
          <w:color w:val="auto"/>
          <w:sz w:val="32"/>
          <w:szCs w:val="32"/>
        </w:rPr>
        <w:t>一次性奖励</w:t>
      </w:r>
      <w:r>
        <w:rPr>
          <w:rFonts w:hint="eastAsia" w:ascii="Times New Roman" w:hAnsi="Times New Roman" w:eastAsia="仿宋_GB2312" w:cs="仿宋_GB2312"/>
          <w:color w:val="auto"/>
          <w:sz w:val="32"/>
          <w:szCs w:val="32"/>
          <w:lang w:val="en-US" w:eastAsia="zh-CN"/>
        </w:rPr>
        <w:t>2</w:t>
      </w:r>
      <w:r>
        <w:rPr>
          <w:rFonts w:hint="eastAsia" w:ascii="Times New Roman" w:hAnsi="Times New Roman" w:eastAsia="仿宋_GB2312" w:cs="仿宋_GB2312"/>
          <w:color w:val="auto"/>
          <w:sz w:val="32"/>
          <w:szCs w:val="32"/>
        </w:rPr>
        <w:t>万元/家。</w:t>
      </w:r>
      <w:r>
        <w:rPr>
          <w:rFonts w:hint="eastAsia" w:ascii="Times New Roman" w:hAnsi="Times New Roman" w:eastAsia="仿宋_GB2312" w:cs="仿宋_GB2312"/>
          <w:color w:val="auto"/>
          <w:sz w:val="32"/>
          <w:szCs w:val="32"/>
          <w:lang w:val="en-US" w:eastAsia="zh-CN"/>
        </w:rPr>
        <w:t>开展入园</w:t>
      </w:r>
      <w:r>
        <w:rPr>
          <w:rFonts w:hint="eastAsia" w:ascii="Times New Roman" w:hAnsi="Times New Roman" w:eastAsia="仿宋_GB2312" w:cs="仿宋_GB2312"/>
          <w:color w:val="auto"/>
          <w:sz w:val="32"/>
          <w:szCs w:val="32"/>
        </w:rPr>
        <w:t>人力资源</w:t>
      </w:r>
      <w:r>
        <w:rPr>
          <w:rFonts w:hint="eastAsia" w:ascii="Times New Roman" w:hAnsi="Times New Roman" w:eastAsia="仿宋_GB2312" w:cs="仿宋_GB2312"/>
          <w:color w:val="auto"/>
          <w:sz w:val="32"/>
          <w:szCs w:val="32"/>
          <w:lang w:val="en-US" w:eastAsia="zh-CN"/>
        </w:rPr>
        <w:t>企业等级</w:t>
      </w:r>
      <w:r>
        <w:rPr>
          <w:rFonts w:hint="eastAsia" w:ascii="Times New Roman" w:hAnsi="Times New Roman" w:eastAsia="仿宋_GB2312" w:cs="仿宋_GB2312"/>
          <w:color w:val="auto"/>
          <w:sz w:val="32"/>
          <w:szCs w:val="32"/>
        </w:rPr>
        <w:t>评定工作，</w:t>
      </w:r>
      <w:r>
        <w:rPr>
          <w:rFonts w:hint="eastAsia" w:ascii="Times New Roman" w:hAnsi="Times New Roman" w:eastAsia="仿宋_GB2312" w:cs="仿宋_GB2312"/>
          <w:color w:val="auto"/>
          <w:sz w:val="32"/>
          <w:szCs w:val="32"/>
          <w:lang w:val="en-US" w:eastAsia="zh-CN"/>
        </w:rPr>
        <w:t>引导企业规范发展</w:t>
      </w:r>
      <w:r>
        <w:rPr>
          <w:rFonts w:hint="eastAsia" w:ascii="Times New Roman" w:hAnsi="Times New Roman" w:eastAsia="仿宋_GB2312" w:cs="仿宋_GB2312"/>
          <w:color w:val="auto"/>
          <w:sz w:val="32"/>
          <w:szCs w:val="32"/>
        </w:rPr>
        <w:t>。</w:t>
      </w:r>
      <w:r>
        <w:rPr>
          <w:rFonts w:hint="eastAsia" w:ascii="Times New Roman" w:hAnsi="Times New Roman" w:eastAsia="仿宋_GB2312" w:cs="仿宋_GB2312"/>
          <w:color w:val="auto"/>
          <w:sz w:val="32"/>
          <w:szCs w:val="32"/>
          <w:lang w:eastAsia="zh-CN"/>
        </w:rPr>
        <w:t>此项奖励资金总额不超过</w:t>
      </w:r>
      <w:r>
        <w:rPr>
          <w:rFonts w:hint="eastAsia" w:ascii="Times New Roman" w:hAnsi="Times New Roman" w:eastAsia="仿宋_GB2312" w:cs="仿宋_GB2312"/>
          <w:color w:val="auto"/>
          <w:sz w:val="32"/>
          <w:szCs w:val="32"/>
          <w:lang w:val="en-US" w:eastAsia="zh-CN"/>
        </w:rPr>
        <w:t>20万元，</w:t>
      </w:r>
      <w:r>
        <w:rPr>
          <w:rFonts w:hint="eastAsia" w:ascii="Times New Roman" w:hAnsi="Times New Roman" w:eastAsia="仿宋_GB2312" w:cs="仿宋_GB2312"/>
          <w:color w:val="auto"/>
          <w:sz w:val="32"/>
          <w:szCs w:val="32"/>
        </w:rPr>
        <w:t>所需资金从专项发展资金中列支</w:t>
      </w:r>
      <w:r>
        <w:rPr>
          <w:rFonts w:hint="eastAsia" w:ascii="Times New Roman" w:hAnsi="Times New Roman" w:eastAsia="仿宋_GB2312" w:cs="仿宋_GB2312"/>
          <w:color w:val="auto"/>
          <w:sz w:val="32"/>
          <w:szCs w:val="32"/>
          <w:lang w:eastAsia="zh-CN"/>
        </w:rPr>
        <w:t>。</w:t>
      </w:r>
      <w:r>
        <w:rPr>
          <w:rFonts w:hint="eastAsia" w:ascii="Times New Roman" w:hAnsi="Times New Roman" w:eastAsia="仿宋_GB2312" w:cs="仿宋_GB2312"/>
          <w:color w:val="auto"/>
          <w:sz w:val="32"/>
          <w:szCs w:val="32"/>
        </w:rPr>
        <w:t>（牵头单位：市人社局，责任单位：各</w:t>
      </w:r>
      <w:r>
        <w:rPr>
          <w:rFonts w:hint="eastAsia" w:ascii="Times New Roman" w:hAnsi="Times New Roman" w:eastAsia="仿宋_GB2312" w:cs="仿宋_GB2312"/>
          <w:color w:val="auto"/>
          <w:sz w:val="32"/>
          <w:szCs w:val="32"/>
          <w:lang w:eastAsia="zh-CN"/>
        </w:rPr>
        <w:t>县</w:t>
      </w:r>
      <w:r>
        <w:rPr>
          <w:rFonts w:hint="eastAsia" w:ascii="Times New Roman" w:hAnsi="Times New Roman" w:eastAsia="仿宋_GB2312" w:cs="仿宋_GB2312"/>
          <w:color w:val="auto"/>
          <w:sz w:val="32"/>
          <w:szCs w:val="32"/>
          <w:highlight w:val="none"/>
          <w:lang w:eastAsia="zh-CN"/>
        </w:rPr>
        <w:t>（</w:t>
      </w:r>
      <w:r>
        <w:rPr>
          <w:rFonts w:hint="eastAsia" w:ascii="Times New Roman" w:hAnsi="Times New Roman" w:eastAsia="仿宋_GB2312" w:cs="仿宋_GB2312"/>
          <w:color w:val="auto"/>
          <w:sz w:val="32"/>
          <w:szCs w:val="32"/>
          <w:lang w:eastAsia="zh-CN"/>
        </w:rPr>
        <w:t>区）</w:t>
      </w:r>
      <w:r>
        <w:rPr>
          <w:rFonts w:hint="eastAsia" w:ascii="Times New Roman" w:hAnsi="Times New Roman" w:eastAsia="仿宋_GB2312" w:cs="仿宋_GB2312"/>
          <w:color w:val="auto"/>
          <w:sz w:val="32"/>
          <w:szCs w:val="32"/>
        </w:rPr>
        <w:t>人民政府）</w:t>
      </w:r>
    </w:p>
    <w:p>
      <w:pPr>
        <w:pStyle w:val="8"/>
        <w:keepNext w:val="0"/>
        <w:keepLines w:val="0"/>
        <w:pageBreakBefore w:val="0"/>
        <w:widowControl w:val="0"/>
        <w:kinsoku/>
        <w:wordWrap/>
        <w:overflowPunct/>
        <w:topLinePunct w:val="0"/>
        <w:autoSpaceDE/>
        <w:autoSpaceDN/>
        <w:bidi w:val="0"/>
        <w:spacing w:line="560" w:lineRule="exact"/>
        <w:ind w:firstLine="640"/>
        <w:textAlignment w:val="auto"/>
        <w:outlineLvl w:val="9"/>
        <w:rPr>
          <w:rFonts w:hint="eastAsia" w:ascii="Times New Roman" w:hAnsi="Times New Roman" w:eastAsia="仿宋_GB2312" w:cs="仿宋_GB2312"/>
          <w:color w:val="auto"/>
          <w:sz w:val="32"/>
          <w:szCs w:val="32"/>
        </w:rPr>
      </w:pPr>
      <w:r>
        <w:rPr>
          <w:rFonts w:hint="eastAsia" w:ascii="Times New Roman" w:hAnsi="Times New Roman" w:eastAsia="仿宋_GB2312" w:cs="仿宋_GB2312"/>
          <w:b/>
          <w:bCs/>
          <w:color w:val="auto"/>
          <w:sz w:val="32"/>
          <w:szCs w:val="32"/>
        </w:rPr>
        <w:t>4</w:t>
      </w:r>
      <w:r>
        <w:rPr>
          <w:rFonts w:ascii="Times New Roman" w:hAnsi="Times New Roman" w:eastAsia="仿宋_GB2312" w:cs="仿宋_GB2312"/>
          <w:b/>
          <w:bCs/>
          <w:color w:val="auto"/>
          <w:sz w:val="32"/>
          <w:szCs w:val="32"/>
        </w:rPr>
        <w:t>.</w:t>
      </w:r>
      <w:r>
        <w:rPr>
          <w:rFonts w:hint="eastAsia" w:ascii="Times New Roman" w:hAnsi="Times New Roman" w:eastAsia="仿宋_GB2312" w:cs="仿宋_GB2312"/>
          <w:b/>
          <w:bCs/>
          <w:color w:val="auto"/>
          <w:sz w:val="32"/>
          <w:szCs w:val="32"/>
        </w:rPr>
        <w:t>培养行业人才。</w:t>
      </w:r>
      <w:r>
        <w:rPr>
          <w:rFonts w:hint="eastAsia" w:ascii="Times New Roman" w:hAnsi="Times New Roman" w:eastAsia="仿宋_GB2312" w:cs="仿宋_GB2312"/>
          <w:color w:val="auto"/>
          <w:sz w:val="32"/>
          <w:szCs w:val="32"/>
          <w:lang w:val="en-US" w:eastAsia="zh-CN"/>
        </w:rPr>
        <w:t>加大人力资源服务行业人才培养，进一步提升其能力素质，在“龙城之光”人才培养计划、企业家培育工程等项目中，专项培训入园的人力资源服务企业管理人员。</w:t>
      </w:r>
      <w:r>
        <w:rPr>
          <w:rFonts w:hint="eastAsia" w:ascii="Times New Roman" w:hAnsi="Times New Roman" w:eastAsia="仿宋_GB2312" w:cs="仿宋_GB2312"/>
          <w:color w:val="auto"/>
          <w:sz w:val="32"/>
          <w:szCs w:val="32"/>
        </w:rPr>
        <w:t>（牵头单位：市</w:t>
      </w:r>
      <w:r>
        <w:rPr>
          <w:rFonts w:hint="eastAsia" w:ascii="Times New Roman" w:hAnsi="Times New Roman" w:eastAsia="仿宋_GB2312" w:cs="仿宋_GB2312"/>
          <w:color w:val="auto"/>
          <w:sz w:val="32"/>
          <w:szCs w:val="32"/>
          <w:lang w:eastAsia="zh-CN"/>
        </w:rPr>
        <w:t>委组织部</w:t>
      </w:r>
      <w:r>
        <w:rPr>
          <w:rFonts w:hint="eastAsia" w:ascii="Times New Roman" w:hAnsi="Times New Roman" w:eastAsia="仿宋_GB2312" w:cs="仿宋_GB2312"/>
          <w:color w:val="auto"/>
          <w:sz w:val="32"/>
          <w:szCs w:val="32"/>
        </w:rPr>
        <w:t>，责任单位：市人社局）</w:t>
      </w:r>
    </w:p>
    <w:p>
      <w:pPr>
        <w:pStyle w:val="8"/>
        <w:keepNext w:val="0"/>
        <w:keepLines w:val="0"/>
        <w:pageBreakBefore w:val="0"/>
        <w:widowControl w:val="0"/>
        <w:kinsoku/>
        <w:wordWrap/>
        <w:overflowPunct/>
        <w:topLinePunct w:val="0"/>
        <w:autoSpaceDE/>
        <w:autoSpaceDN/>
        <w:bidi w:val="0"/>
        <w:spacing w:line="560" w:lineRule="exact"/>
        <w:ind w:firstLine="640"/>
        <w:textAlignment w:val="auto"/>
        <w:outlineLvl w:val="9"/>
        <w:rPr>
          <w:rFonts w:hint="eastAsia" w:ascii="仿宋_GB2312" w:hAnsi="仿宋_GB2312" w:eastAsia="仿宋_GB2312" w:cs="仿宋_GB2312"/>
          <w:color w:val="auto"/>
          <w:sz w:val="32"/>
          <w:szCs w:val="32"/>
        </w:rPr>
      </w:pPr>
      <w:r>
        <w:rPr>
          <w:rFonts w:hint="eastAsia" w:ascii="Times New Roman" w:hAnsi="Times New Roman" w:eastAsia="仿宋_GB2312" w:cs="仿宋"/>
          <w:b/>
          <w:bCs/>
          <w:color w:val="auto"/>
          <w:sz w:val="32"/>
          <w:szCs w:val="32"/>
        </w:rPr>
        <w:t>5.经济贡献奖励。</w:t>
      </w:r>
      <w:r>
        <w:rPr>
          <w:rFonts w:hint="eastAsia" w:ascii="Times New Roman" w:hAnsi="Times New Roman" w:eastAsia="仿宋_GB2312" w:cs="仿宋_GB2312"/>
          <w:color w:val="auto"/>
          <w:sz w:val="32"/>
          <w:szCs w:val="32"/>
          <w:lang w:val="en-US" w:eastAsia="zh-CN"/>
        </w:rPr>
        <w:t>园区企业主营业务收入在2000万元至5000万元的（包含2000万元，不含5000万元），一次性奖励不超过10万元；5000万元至1亿元的（包含5000万元，不含1亿元），一次性奖励不超过15万元；主营业务收入在1亿元至5亿元的（包含1亿元，不包含5亿元），一次性奖励不超过30万元；主营业务收入在5亿元至10亿元的（包含5亿元，不包含10亿元的），一次性奖励不超过50万元；主营业务收入在10亿元至30亿元的（包含10亿元，不包含30亿元的），一次性奖励不超过80万元；主营业务收入在30亿元及以上的，一次性奖励100万元。上述奖励不得重复享受。当企业营收提升至符合下一个档次条件时，可对应享受奖励。所需资金从专项发展资金中列支。新入园企业符合《柳州市招商引资激励办法》（柳政规〔2022〕8号）条件的，给予对应奖励。</w:t>
      </w:r>
      <w:r>
        <w:rPr>
          <w:rFonts w:hint="eastAsia" w:ascii="仿宋_GB2312" w:hAnsi="仿宋_GB2312" w:eastAsia="仿宋_GB2312" w:cs="仿宋_GB2312"/>
          <w:color w:val="auto"/>
          <w:sz w:val="32"/>
          <w:szCs w:val="32"/>
        </w:rPr>
        <w:t>（牵头单位：市人力资源社会保障局、市</w:t>
      </w:r>
      <w:r>
        <w:rPr>
          <w:rFonts w:hint="eastAsia" w:ascii="仿宋_GB2312" w:hAnsi="仿宋_GB2312" w:eastAsia="仿宋_GB2312" w:cs="仿宋_GB2312"/>
          <w:color w:val="auto"/>
          <w:sz w:val="32"/>
          <w:szCs w:val="32"/>
          <w:lang w:eastAsia="zh-CN"/>
        </w:rPr>
        <w:t>投资</w:t>
      </w:r>
      <w:r>
        <w:rPr>
          <w:rFonts w:hint="eastAsia" w:ascii="仿宋_GB2312" w:hAnsi="仿宋_GB2312" w:eastAsia="仿宋_GB2312" w:cs="仿宋_GB2312"/>
          <w:color w:val="auto"/>
          <w:sz w:val="32"/>
          <w:szCs w:val="32"/>
        </w:rPr>
        <w:t xml:space="preserve">促进局 </w:t>
      </w:r>
      <w:r>
        <w:rPr>
          <w:rFonts w:hint="eastAsia" w:ascii="仿宋_GB2312" w:hAnsi="仿宋_GB2312" w:eastAsia="仿宋_GB2312" w:cs="仿宋_GB2312"/>
          <w:color w:val="auto"/>
          <w:sz w:val="32"/>
          <w:szCs w:val="32"/>
          <w:lang w:eastAsia="zh-CN"/>
        </w:rPr>
        <w:t>配合单位</w:t>
      </w:r>
      <w:r>
        <w:rPr>
          <w:rFonts w:hint="eastAsia" w:ascii="仿宋_GB2312" w:hAnsi="仿宋_GB2312" w:eastAsia="仿宋_GB2312" w:cs="仿宋_GB2312"/>
          <w:color w:val="auto"/>
          <w:sz w:val="32"/>
          <w:szCs w:val="32"/>
        </w:rPr>
        <w:t>：市财政局、柳东新区管委会、阳和工业新区</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rPr>
        <w:t>北部生态新区）管委会）</w:t>
      </w:r>
    </w:p>
    <w:p>
      <w:pPr>
        <w:keepNext w:val="0"/>
        <w:keepLines w:val="0"/>
        <w:pageBreakBefore w:val="0"/>
        <w:widowControl w:val="0"/>
        <w:kinsoku/>
        <w:wordWrap/>
        <w:overflowPunct/>
        <w:topLinePunct w:val="0"/>
        <w:autoSpaceDE/>
        <w:autoSpaceDN/>
        <w:bidi w:val="0"/>
        <w:spacing w:line="560" w:lineRule="exact"/>
        <w:ind w:firstLine="642" w:firstLineChars="200"/>
        <w:textAlignment w:val="auto"/>
        <w:outlineLvl w:val="9"/>
        <w:rPr>
          <w:rFonts w:ascii="Times New Roman" w:hAnsi="Times New Roman" w:eastAsia="仿宋_GB2312"/>
          <w:color w:val="auto"/>
          <w:sz w:val="32"/>
          <w:szCs w:val="32"/>
        </w:rPr>
      </w:pPr>
      <w:r>
        <w:rPr>
          <w:rFonts w:hint="eastAsia" w:ascii="Times New Roman" w:hAnsi="Times New Roman" w:eastAsia="仿宋_GB2312"/>
          <w:b/>
          <w:bCs/>
          <w:color w:val="auto"/>
          <w:sz w:val="32"/>
          <w:szCs w:val="32"/>
        </w:rPr>
        <w:t>6</w:t>
      </w:r>
      <w:r>
        <w:rPr>
          <w:rFonts w:ascii="Times New Roman" w:hAnsi="Times New Roman" w:eastAsia="仿宋_GB2312"/>
          <w:b/>
          <w:bCs/>
          <w:color w:val="auto"/>
          <w:sz w:val="32"/>
          <w:szCs w:val="32"/>
        </w:rPr>
        <w:t>.</w:t>
      </w:r>
      <w:r>
        <w:rPr>
          <w:rFonts w:hint="eastAsia" w:ascii="Times New Roman" w:hAnsi="Times New Roman" w:eastAsia="仿宋_GB2312"/>
          <w:b/>
          <w:bCs/>
          <w:color w:val="auto"/>
          <w:sz w:val="32"/>
          <w:szCs w:val="32"/>
        </w:rPr>
        <w:t>引进人才补贴。</w:t>
      </w:r>
      <w:r>
        <w:rPr>
          <w:rFonts w:hint="eastAsia" w:ascii="Times New Roman" w:hAnsi="Times New Roman" w:eastAsia="仿宋_GB2312"/>
          <w:color w:val="auto"/>
          <w:sz w:val="32"/>
          <w:szCs w:val="32"/>
        </w:rPr>
        <w:t>鼓励园区企业推荐引进各类优秀人才落户柳州创业就业</w:t>
      </w:r>
      <w:r>
        <w:rPr>
          <w:rFonts w:hint="eastAsia" w:ascii="Times New Roman" w:hAnsi="Times New Roman" w:eastAsia="仿宋_GB2312"/>
          <w:color w:val="auto"/>
          <w:sz w:val="32"/>
          <w:szCs w:val="32"/>
          <w:lang w:eastAsia="zh-CN"/>
        </w:rPr>
        <w:t>，引进人才按《柳州市进一步加强新时代人才集聚更大力度推动产业高质量发展的若干措施》（柳发〔2022〕7号）给予奖励。</w:t>
      </w:r>
      <w:r>
        <w:rPr>
          <w:rFonts w:hint="eastAsia" w:ascii="Times New Roman" w:hAnsi="Times New Roman" w:eastAsia="仿宋_GB2312"/>
          <w:color w:val="auto"/>
          <w:sz w:val="32"/>
          <w:szCs w:val="32"/>
        </w:rPr>
        <w:t>（牵头单位：</w:t>
      </w:r>
      <w:r>
        <w:rPr>
          <w:rFonts w:hint="eastAsia" w:ascii="Times New Roman" w:hAnsi="Times New Roman" w:eastAsia="仿宋_GB2312"/>
          <w:color w:val="auto"/>
          <w:sz w:val="32"/>
          <w:szCs w:val="32"/>
          <w:lang w:val="en-US" w:eastAsia="zh-CN"/>
        </w:rPr>
        <w:t>市人社局</w:t>
      </w:r>
      <w:r>
        <w:rPr>
          <w:rFonts w:hint="eastAsia" w:ascii="Times New Roman" w:hAnsi="Times New Roman" w:eastAsia="仿宋_GB2312"/>
          <w:color w:val="auto"/>
          <w:sz w:val="32"/>
          <w:szCs w:val="32"/>
        </w:rPr>
        <w:t>，</w:t>
      </w:r>
      <w:r>
        <w:rPr>
          <w:rFonts w:hint="eastAsia" w:ascii="Times New Roman" w:hAnsi="Times New Roman" w:eastAsia="仿宋_GB2312"/>
          <w:color w:val="auto"/>
          <w:sz w:val="32"/>
          <w:szCs w:val="32"/>
          <w:lang w:val="en-US" w:eastAsia="zh-CN"/>
        </w:rPr>
        <w:t>责任</w:t>
      </w:r>
      <w:r>
        <w:rPr>
          <w:rFonts w:hint="eastAsia" w:ascii="Times New Roman" w:hAnsi="Times New Roman" w:eastAsia="仿宋_GB2312"/>
          <w:color w:val="auto"/>
          <w:sz w:val="32"/>
          <w:szCs w:val="32"/>
        </w:rPr>
        <w:t>单位：市委组织部、</w:t>
      </w:r>
      <w:r>
        <w:rPr>
          <w:rFonts w:hint="eastAsia" w:ascii="Times New Roman" w:hAnsi="Times New Roman" w:eastAsia="仿宋_GB2312"/>
          <w:color w:val="auto"/>
          <w:sz w:val="32"/>
          <w:szCs w:val="32"/>
          <w:lang w:eastAsia="zh-CN"/>
        </w:rPr>
        <w:t>市财政局</w:t>
      </w:r>
      <w:r>
        <w:rPr>
          <w:rFonts w:hint="eastAsia" w:ascii="Times New Roman" w:hAnsi="Times New Roman" w:eastAsia="仿宋_GB2312"/>
          <w:color w:val="auto"/>
          <w:sz w:val="32"/>
          <w:szCs w:val="32"/>
        </w:rPr>
        <w:t>）</w:t>
      </w:r>
    </w:p>
    <w:p>
      <w:pPr>
        <w:spacing w:line="480" w:lineRule="exact"/>
        <w:ind w:firstLine="642" w:firstLineChars="200"/>
        <w:jc w:val="left"/>
        <w:rPr>
          <w:rFonts w:hint="eastAsia" w:ascii="Times New Roman" w:hAnsi="Times New Roman" w:eastAsia="仿宋_GB2312"/>
          <w:color w:val="auto"/>
          <w:sz w:val="32"/>
          <w:szCs w:val="32"/>
          <w:lang w:val="en-US" w:eastAsia="zh-CN"/>
        </w:rPr>
      </w:pPr>
      <w:r>
        <w:rPr>
          <w:rFonts w:hint="eastAsia" w:ascii="Times New Roman" w:hAnsi="Times New Roman" w:eastAsia="仿宋_GB2312"/>
          <w:b/>
          <w:bCs/>
          <w:color w:val="auto"/>
          <w:sz w:val="32"/>
          <w:szCs w:val="32"/>
        </w:rPr>
        <w:t>7</w:t>
      </w:r>
      <w:r>
        <w:rPr>
          <w:rFonts w:ascii="Times New Roman" w:hAnsi="Times New Roman" w:eastAsia="仿宋_GB2312"/>
          <w:b/>
          <w:bCs/>
          <w:color w:val="auto"/>
          <w:sz w:val="32"/>
          <w:szCs w:val="32"/>
        </w:rPr>
        <w:t>.</w:t>
      </w:r>
      <w:r>
        <w:rPr>
          <w:rFonts w:hint="eastAsia" w:ascii="Times New Roman" w:hAnsi="Times New Roman" w:eastAsia="仿宋_GB2312"/>
          <w:b/>
          <w:bCs/>
          <w:color w:val="auto"/>
          <w:sz w:val="32"/>
          <w:szCs w:val="32"/>
        </w:rPr>
        <w:t>用工输送奖励。</w:t>
      </w:r>
      <w:r>
        <w:rPr>
          <w:rFonts w:hint="eastAsia" w:ascii="Times New Roman" w:hAnsi="Times New Roman" w:eastAsia="仿宋_GB2312"/>
          <w:color w:val="auto"/>
          <w:sz w:val="32"/>
          <w:szCs w:val="32"/>
          <w:lang w:val="en-US" w:eastAsia="zh-CN"/>
        </w:rPr>
        <w:t>鼓励园区企业为柳州市重点企业、市级以上重点项目、各县（区）规上入统企业输送务工人员，解决本地企业（项目）用工难题，按《关于做好人力资源服务补助发放工作的通知》（柳人社规〔2022〕2号）文件有关规定，给与补助。（牵头单位：市人社局，责任单位：各县、区人社局）</w:t>
      </w:r>
    </w:p>
    <w:p>
      <w:pPr>
        <w:pStyle w:val="8"/>
        <w:keepNext w:val="0"/>
        <w:keepLines w:val="0"/>
        <w:pageBreakBefore w:val="0"/>
        <w:widowControl w:val="0"/>
        <w:kinsoku/>
        <w:wordWrap/>
        <w:overflowPunct/>
        <w:topLinePunct w:val="0"/>
        <w:autoSpaceDE/>
        <w:autoSpaceDN/>
        <w:bidi w:val="0"/>
        <w:spacing w:line="560" w:lineRule="exact"/>
        <w:ind w:firstLine="640"/>
        <w:textAlignment w:val="auto"/>
        <w:outlineLvl w:val="9"/>
        <w:rPr>
          <w:rFonts w:ascii="Times New Roman" w:hAnsi="Times New Roman"/>
          <w:color w:val="auto"/>
        </w:rPr>
      </w:pPr>
      <w:r>
        <w:rPr>
          <w:rFonts w:hint="eastAsia" w:ascii="Times New Roman" w:hAnsi="Times New Roman" w:eastAsia="仿宋_GB2312"/>
          <w:color w:val="auto"/>
          <w:sz w:val="32"/>
          <w:szCs w:val="32"/>
        </w:rPr>
        <w:t>本办法自</w:t>
      </w:r>
      <w:r>
        <w:rPr>
          <w:rFonts w:ascii="Times New Roman" w:hAnsi="Times New Roman" w:eastAsia="仿宋_GB2312"/>
          <w:color w:val="auto"/>
          <w:sz w:val="32"/>
          <w:szCs w:val="32"/>
        </w:rPr>
        <w:t>202</w:t>
      </w:r>
      <w:r>
        <w:rPr>
          <w:rFonts w:hint="eastAsia" w:ascii="Times New Roman" w:hAnsi="Times New Roman" w:eastAsia="仿宋_GB2312"/>
          <w:color w:val="auto"/>
          <w:sz w:val="32"/>
          <w:szCs w:val="32"/>
        </w:rPr>
        <w:t>4</w:t>
      </w:r>
      <w:r>
        <w:rPr>
          <w:rFonts w:ascii="Times New Roman" w:hAnsi="Times New Roman" w:eastAsia="仿宋_GB2312"/>
          <w:color w:val="auto"/>
          <w:sz w:val="32"/>
          <w:szCs w:val="32"/>
        </w:rPr>
        <w:t>年1月1日起实施，有效期至2026年12月31</w:t>
      </w:r>
      <w:r>
        <w:rPr>
          <w:rFonts w:hint="eastAsia" w:ascii="Times New Roman" w:hAnsi="Times New Roman" w:eastAsia="仿宋_GB2312"/>
          <w:color w:val="auto"/>
          <w:sz w:val="32"/>
          <w:szCs w:val="32"/>
        </w:rPr>
        <w:t>日</w:t>
      </w:r>
      <w:r>
        <w:rPr>
          <w:rFonts w:hint="eastAsia" w:ascii="Times New Roman" w:hAnsi="Times New Roman" w:eastAsia="仿宋_GB2312"/>
          <w:color w:val="auto"/>
          <w:sz w:val="32"/>
          <w:szCs w:val="32"/>
          <w:lang w:eastAsia="zh-CN"/>
        </w:rPr>
        <w:t>。</w:t>
      </w:r>
      <w:r>
        <w:rPr>
          <w:rFonts w:hint="eastAsia" w:ascii="Times New Roman" w:hAnsi="Times New Roman" w:eastAsia="仿宋_GB2312"/>
          <w:color w:val="auto"/>
          <w:sz w:val="32"/>
          <w:szCs w:val="32"/>
        </w:rPr>
        <w:t>本</w:t>
      </w:r>
      <w:r>
        <w:rPr>
          <w:rFonts w:hint="eastAsia" w:ascii="Times New Roman" w:hAnsi="Times New Roman" w:eastAsia="仿宋_GB2312"/>
          <w:color w:val="auto"/>
          <w:sz w:val="32"/>
          <w:szCs w:val="32"/>
          <w:lang w:val="en-US" w:eastAsia="zh-CN"/>
        </w:rPr>
        <w:t>办法</w:t>
      </w:r>
      <w:r>
        <w:rPr>
          <w:rFonts w:hint="eastAsia" w:ascii="Times New Roman" w:hAnsi="Times New Roman" w:eastAsia="仿宋_GB2312"/>
          <w:color w:val="auto"/>
          <w:sz w:val="32"/>
          <w:szCs w:val="32"/>
        </w:rPr>
        <w:t>实施之日起，《柳州市加快发展人力资源服务业实施办法（试行）的通知》（柳政规〔2022〕16号）停止执行。</w:t>
      </w:r>
      <w:r>
        <w:rPr>
          <w:rFonts w:hint="eastAsia" w:ascii="Times New Roman" w:hAnsi="Times New Roman" w:eastAsia="仿宋_GB2312"/>
          <w:color w:val="auto"/>
          <w:sz w:val="32"/>
          <w:szCs w:val="32"/>
          <w:lang w:val="en-US" w:eastAsia="zh-CN"/>
        </w:rPr>
        <w:t>本办法由</w:t>
      </w:r>
      <w:r>
        <w:rPr>
          <w:rFonts w:hint="eastAsia" w:ascii="Times New Roman" w:hAnsi="Times New Roman" w:eastAsia="仿宋_GB2312"/>
          <w:color w:val="auto"/>
          <w:sz w:val="32"/>
          <w:szCs w:val="32"/>
        </w:rPr>
        <w:t>柳州市人力资源和社会保障局负责解释，若遇国家和自治区有关政策调整，按国家和自治区最新政策执行。</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等线">
    <w:altName w:val="汉仪仿宋S"/>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UwOWNlYWJkOWFjMmUyODNjM2U4ZTFhYTgzZjQ3NTkifQ=="/>
  </w:docVars>
  <w:rsids>
    <w:rsidRoot w:val="001F53E3"/>
    <w:rsid w:val="000F1CBE"/>
    <w:rsid w:val="00107C2F"/>
    <w:rsid w:val="001F53E3"/>
    <w:rsid w:val="00235F10"/>
    <w:rsid w:val="002403B7"/>
    <w:rsid w:val="002A569D"/>
    <w:rsid w:val="00323FAF"/>
    <w:rsid w:val="003E528E"/>
    <w:rsid w:val="003F0975"/>
    <w:rsid w:val="004E5AF5"/>
    <w:rsid w:val="006A43CF"/>
    <w:rsid w:val="00933FF4"/>
    <w:rsid w:val="009751B3"/>
    <w:rsid w:val="00980803"/>
    <w:rsid w:val="00A167DA"/>
    <w:rsid w:val="00AD5795"/>
    <w:rsid w:val="00BD30D8"/>
    <w:rsid w:val="00CC045B"/>
    <w:rsid w:val="00D226B2"/>
    <w:rsid w:val="00D326C7"/>
    <w:rsid w:val="00D96A85"/>
    <w:rsid w:val="00E22EAE"/>
    <w:rsid w:val="00E37B55"/>
    <w:rsid w:val="00F1426C"/>
    <w:rsid w:val="00F16A55"/>
    <w:rsid w:val="00F57909"/>
    <w:rsid w:val="00FF0859"/>
    <w:rsid w:val="015C065A"/>
    <w:rsid w:val="01973B44"/>
    <w:rsid w:val="04144D1E"/>
    <w:rsid w:val="06523C1F"/>
    <w:rsid w:val="06743053"/>
    <w:rsid w:val="06B729A5"/>
    <w:rsid w:val="07686D24"/>
    <w:rsid w:val="0FB24532"/>
    <w:rsid w:val="0FE30B4A"/>
    <w:rsid w:val="112F0F0B"/>
    <w:rsid w:val="12CB7C51"/>
    <w:rsid w:val="138F608F"/>
    <w:rsid w:val="14E010A6"/>
    <w:rsid w:val="15313A3A"/>
    <w:rsid w:val="161E2FD6"/>
    <w:rsid w:val="1CBF526D"/>
    <w:rsid w:val="1D5A7655"/>
    <w:rsid w:val="1DC87C36"/>
    <w:rsid w:val="26245682"/>
    <w:rsid w:val="27170727"/>
    <w:rsid w:val="27EF7277"/>
    <w:rsid w:val="289964B9"/>
    <w:rsid w:val="2B112251"/>
    <w:rsid w:val="312E69F1"/>
    <w:rsid w:val="316E6914"/>
    <w:rsid w:val="34490A7B"/>
    <w:rsid w:val="35AF114F"/>
    <w:rsid w:val="381642A6"/>
    <w:rsid w:val="38207E14"/>
    <w:rsid w:val="39525546"/>
    <w:rsid w:val="39A453EE"/>
    <w:rsid w:val="400F3AA6"/>
    <w:rsid w:val="41636DA9"/>
    <w:rsid w:val="4207569B"/>
    <w:rsid w:val="456C4E4D"/>
    <w:rsid w:val="47496475"/>
    <w:rsid w:val="4C03179D"/>
    <w:rsid w:val="4DAA7599"/>
    <w:rsid w:val="4DC011FF"/>
    <w:rsid w:val="52104DAC"/>
    <w:rsid w:val="52624824"/>
    <w:rsid w:val="56864602"/>
    <w:rsid w:val="56D27821"/>
    <w:rsid w:val="572F3796"/>
    <w:rsid w:val="58046188"/>
    <w:rsid w:val="5A99655C"/>
    <w:rsid w:val="5ABB0772"/>
    <w:rsid w:val="5BA21A9F"/>
    <w:rsid w:val="600C6122"/>
    <w:rsid w:val="626728FC"/>
    <w:rsid w:val="63A14B6B"/>
    <w:rsid w:val="63DD0679"/>
    <w:rsid w:val="66EA475C"/>
    <w:rsid w:val="696115E2"/>
    <w:rsid w:val="69A640F9"/>
    <w:rsid w:val="6B0B19AE"/>
    <w:rsid w:val="6B443449"/>
    <w:rsid w:val="6D0A1BA5"/>
    <w:rsid w:val="6D7F9E1A"/>
    <w:rsid w:val="6F6F69B0"/>
    <w:rsid w:val="708A7E30"/>
    <w:rsid w:val="744A6CD7"/>
    <w:rsid w:val="74955C21"/>
    <w:rsid w:val="75365317"/>
    <w:rsid w:val="7601793B"/>
    <w:rsid w:val="77FF2931"/>
    <w:rsid w:val="7835164E"/>
    <w:rsid w:val="7A5A0ACB"/>
    <w:rsid w:val="7BBF9FC5"/>
    <w:rsid w:val="95EFA1E6"/>
    <w:rsid w:val="9D375F0A"/>
    <w:rsid w:val="CAFE1F2F"/>
    <w:rsid w:val="D7BB0328"/>
    <w:rsid w:val="DCFF07F0"/>
    <w:rsid w:val="F2FF0F86"/>
    <w:rsid w:val="FEFE0F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7"/>
    <w:qFormat/>
    <w:uiPriority w:val="0"/>
    <w:pPr>
      <w:jc w:val="left"/>
    </w:p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tabs>
        <w:tab w:val="center" w:pos="4153"/>
        <w:tab w:val="right" w:pos="8306"/>
      </w:tabs>
      <w:snapToGrid w:val="0"/>
      <w:jc w:val="center"/>
    </w:pPr>
    <w:rPr>
      <w:sz w:val="18"/>
      <w:szCs w:val="18"/>
    </w:rPr>
  </w:style>
  <w:style w:type="character" w:customStyle="1" w:styleId="7">
    <w:name w:val="批注文字 字符"/>
    <w:basedOn w:val="6"/>
    <w:link w:val="2"/>
    <w:qFormat/>
    <w:uiPriority w:val="0"/>
    <w:rPr>
      <w:szCs w:val="24"/>
    </w:rPr>
  </w:style>
  <w:style w:type="paragraph" w:styleId="8">
    <w:name w:val="List Paragraph"/>
    <w:basedOn w:val="1"/>
    <w:qFormat/>
    <w:uiPriority w:val="34"/>
    <w:pPr>
      <w:ind w:firstLine="420" w:firstLineChars="200"/>
    </w:pPr>
  </w:style>
  <w:style w:type="character" w:customStyle="1" w:styleId="9">
    <w:name w:val="页眉 字符"/>
    <w:basedOn w:val="6"/>
    <w:link w:val="4"/>
    <w:qFormat/>
    <w:uiPriority w:val="99"/>
    <w:rPr>
      <w:sz w:val="18"/>
      <w:szCs w:val="18"/>
    </w:rPr>
  </w:style>
  <w:style w:type="character" w:customStyle="1" w:styleId="10">
    <w:name w:val="页脚 字符"/>
    <w:basedOn w:val="6"/>
    <w:link w:val="3"/>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408</Words>
  <Characters>2328</Characters>
  <Lines>19</Lines>
  <Paragraphs>5</Paragraphs>
  <TotalTime>1</TotalTime>
  <ScaleCrop>false</ScaleCrop>
  <LinksUpToDate>false</LinksUpToDate>
  <CharactersWithSpaces>2731</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2023-09-26T22:59:00Z</dcterms:created>
  <dc:creator>zouzou</dc:creator>
  <cp:lastModifiedBy>gxxc</cp:lastModifiedBy>
  <cp:lastPrinted>2023-11-22T03:16:00Z</cp:lastPrinted>
  <dcterms:modified xsi:type="dcterms:W3CDTF">2024-01-10T09:19:17Z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91EEA2A024FE4468994C386376C77BB0_13</vt:lpwstr>
  </property>
</Properties>
</file>